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  <w:bCs/>
          <w:sz w:val="20"/>
          <w:szCs w:val="20"/>
        </w:rPr>
        <w:t>M1 Schlüsselbegriffe zur Charakterisierung internationaler Konflikte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7060" w:type="dxa"/>
        <w:jc w:val="left"/>
        <w:tblInd w:w="55" w:type="dxa"/>
        <w:tblBorders>
          <w:top w:val="single" w:sz="2" w:space="0" w:color="000001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1126"/>
        <w:gridCol w:w="5933"/>
      </w:tblGrid>
      <w:tr>
        <w:trPr/>
        <w:tc>
          <w:tcPr>
            <w:tcW w:w="7059" w:type="dxa"/>
            <w:gridSpan w:val="2"/>
            <w:tcBorders>
              <w:top w:val="single" w:sz="2" w:space="0" w:color="000001"/>
            </w:tcBorders>
            <w:shd w:color="EEEEEE" w:val="solid"/>
          </w:tcPr>
          <w:p>
            <w:pPr>
              <w:pStyle w:val="TabellenInhalt"/>
              <w:rPr/>
            </w:pPr>
            <w:r>
              <w:rPr>
                <w:b/>
                <w:bCs/>
                <w:sz w:val="20"/>
                <w:szCs w:val="20"/>
              </w:rPr>
              <w:t xml:space="preserve">Konflikt: </w:t>
            </w:r>
            <w:r>
              <w:rPr>
                <w:sz w:val="20"/>
                <w:szCs w:val="20"/>
              </w:rPr>
              <w:t>unvereinbare Positionsdifferenz</w:t>
            </w:r>
          </w:p>
        </w:tc>
      </w:tr>
      <w:tr>
        <w:trPr/>
        <w:tc>
          <w:tcPr>
            <w:tcW w:w="1126" w:type="dxa"/>
            <w:tcBorders/>
            <w:shd w:color="FFFFFF" w:val="solid"/>
          </w:tcPr>
          <w:p>
            <w:pPr>
              <w:pStyle w:val="TabellenInhalt"/>
              <w:rPr/>
            </w:pPr>
            <w:r>
              <w:rPr>
                <w:sz w:val="20"/>
                <w:szCs w:val="20"/>
              </w:rPr>
              <w:t>manifest</w:t>
            </w:r>
          </w:p>
        </w:tc>
        <w:tc>
          <w:tcPr>
            <w:tcW w:w="5933" w:type="dxa"/>
            <w:tcBorders/>
            <w:shd w:color="FFFFFF" w:val="solid"/>
          </w:tcPr>
          <w:p>
            <w:pPr>
              <w:pStyle w:val="TabellenInhalt"/>
              <w:rPr/>
            </w:pPr>
            <w:r>
              <w:rPr>
                <w:sz w:val="20"/>
                <w:szCs w:val="20"/>
              </w:rPr>
              <w:t>den Akteuren bewusst</w:t>
            </w:r>
          </w:p>
        </w:tc>
      </w:tr>
      <w:tr>
        <w:trPr/>
        <w:tc>
          <w:tcPr>
            <w:tcW w:w="1126" w:type="dxa"/>
            <w:tcBorders/>
            <w:shd w:color="FFFFFF" w:val="solid"/>
          </w:tcPr>
          <w:p>
            <w:pPr>
              <w:pStyle w:val="TabellenInhalt"/>
              <w:rPr/>
            </w:pPr>
            <w:r>
              <w:rPr>
                <w:sz w:val="20"/>
                <w:szCs w:val="20"/>
              </w:rPr>
              <w:t>latent</w:t>
            </w:r>
          </w:p>
        </w:tc>
        <w:tc>
          <w:tcPr>
            <w:tcW w:w="5933" w:type="dxa"/>
            <w:tcBorders/>
            <w:shd w:color="FFFFFF" w:val="solid"/>
          </w:tcPr>
          <w:p>
            <w:pPr>
              <w:pStyle w:val="TabellenInhalt"/>
              <w:rPr/>
            </w:pPr>
            <w:r>
              <w:rPr>
                <w:sz w:val="20"/>
                <w:szCs w:val="20"/>
              </w:rPr>
              <w:t>den Akteuren nicht bewusst</w:t>
            </w:r>
          </w:p>
        </w:tc>
      </w:tr>
      <w:tr>
        <w:trPr/>
        <w:tc>
          <w:tcPr>
            <w:tcW w:w="7059" w:type="dxa"/>
            <w:gridSpan w:val="2"/>
            <w:tcBorders>
              <w:top w:val="single" w:sz="2" w:space="0" w:color="000001"/>
            </w:tcBorders>
            <w:shd w:color="EEEEEE" w:val="solid"/>
          </w:tcPr>
          <w:p>
            <w:pPr>
              <w:pStyle w:val="TabellenInhalt"/>
              <w:rPr/>
            </w:pPr>
            <w:r>
              <w:rPr>
                <w:b/>
                <w:bCs/>
                <w:sz w:val="20"/>
                <w:szCs w:val="20"/>
              </w:rPr>
              <w:t xml:space="preserve">Konfliktaustrag: </w:t>
            </w:r>
            <w:r>
              <w:rPr>
                <w:sz w:val="20"/>
                <w:szCs w:val="20"/>
              </w:rPr>
              <w:t>Umgang mit dem Konflikt</w:t>
            </w:r>
          </w:p>
        </w:tc>
      </w:tr>
      <w:tr>
        <w:trPr/>
        <w:tc>
          <w:tcPr>
            <w:tcW w:w="7059" w:type="dxa"/>
            <w:gridSpan w:val="2"/>
            <w:tcBorders/>
            <w:shd w:color="FFFFFF" w:val="solid"/>
          </w:tcPr>
          <w:p>
            <w:pPr>
              <w:pStyle w:val="TabellenInhalt"/>
              <w:rPr/>
            </w:pPr>
            <w:r>
              <w:rPr>
                <w:i/>
                <w:iCs/>
                <w:sz w:val="20"/>
                <w:szCs w:val="20"/>
              </w:rPr>
              <w:t>geregelt</w:t>
            </w:r>
          </w:p>
        </w:tc>
      </w:tr>
      <w:tr>
        <w:trPr/>
        <w:tc>
          <w:tcPr>
            <w:tcW w:w="1126" w:type="dxa"/>
            <w:tcBorders/>
            <w:shd w:color="FFFFFF" w:val="solid"/>
          </w:tcPr>
          <w:p>
            <w:pPr>
              <w:pStyle w:val="TabellenInhalt"/>
              <w:rPr/>
            </w:pPr>
            <w:r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>beendet</w:t>
            </w:r>
          </w:p>
        </w:tc>
        <w:tc>
          <w:tcPr>
            <w:tcW w:w="5933" w:type="dxa"/>
            <w:tcBorders/>
            <w:shd w:color="FFFFFF" w:val="solid"/>
          </w:tcPr>
          <w:p>
            <w:pPr>
              <w:pStyle w:val="TabellenInhalt"/>
              <w:rPr/>
            </w:pPr>
            <w:r>
              <w:rPr>
                <w:sz w:val="20"/>
                <w:szCs w:val="20"/>
              </w:rPr>
              <w:t>Konflikt wird in einen ruhenden Zustand überführt (z.B. Abstimmung über die Zugehörigkeit des Saarlandes)</w:t>
            </w:r>
          </w:p>
        </w:tc>
      </w:tr>
      <w:tr>
        <w:trPr/>
        <w:tc>
          <w:tcPr>
            <w:tcW w:w="1126" w:type="dxa"/>
            <w:tcBorders/>
            <w:shd w:color="FFFFFF" w:val="solid"/>
          </w:tcPr>
          <w:p>
            <w:pPr>
              <w:pStyle w:val="TabellenInhalt"/>
              <w:rPr/>
            </w:pPr>
            <w:r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>reguliert</w:t>
            </w:r>
          </w:p>
        </w:tc>
        <w:tc>
          <w:tcPr>
            <w:tcW w:w="5933" w:type="dxa"/>
            <w:tcBorders/>
            <w:shd w:color="FFFFFF" w:val="solid"/>
          </w:tcPr>
          <w:p>
            <w:pPr>
              <w:pStyle w:val="TabellenInhalt"/>
              <w:rPr/>
            </w:pPr>
            <w:r>
              <w:rPr>
                <w:sz w:val="20"/>
                <w:szCs w:val="20"/>
              </w:rPr>
              <w:t>Regelungen übe den Umgang mit dem Konflikt werden getroffen (z.B. Klimaabkommen)</w:t>
            </w:r>
          </w:p>
        </w:tc>
      </w:tr>
      <w:tr>
        <w:trPr/>
        <w:tc>
          <w:tcPr>
            <w:tcW w:w="7059" w:type="dxa"/>
            <w:gridSpan w:val="2"/>
            <w:tcBorders/>
            <w:shd w:color="FFFFFF" w:val="solid"/>
          </w:tcPr>
          <w:p>
            <w:pPr>
              <w:pStyle w:val="TabellenInhalt"/>
              <w:rPr/>
            </w:pPr>
            <w:r>
              <w:rPr>
                <w:i/>
                <w:iCs/>
                <w:sz w:val="20"/>
                <w:szCs w:val="20"/>
              </w:rPr>
              <w:t>ungeregelt</w:t>
            </w:r>
          </w:p>
        </w:tc>
      </w:tr>
      <w:tr>
        <w:trPr/>
        <w:tc>
          <w:tcPr>
            <w:tcW w:w="1126" w:type="dxa"/>
            <w:tcBorders/>
            <w:shd w:color="FFFFFF" w:val="solid"/>
          </w:tcPr>
          <w:p>
            <w:pPr>
              <w:pStyle w:val="TabellenInhalt"/>
              <w:rPr/>
            </w:pPr>
            <w:r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>gelöst</w:t>
            </w:r>
          </w:p>
        </w:tc>
        <w:tc>
          <w:tcPr>
            <w:tcW w:w="5933" w:type="dxa"/>
            <w:tcBorders/>
            <w:shd w:color="FFFFFF" w:val="solid"/>
          </w:tcPr>
          <w:p>
            <w:pPr>
              <w:pStyle w:val="TabellenInhalt"/>
              <w:rPr/>
            </w:pPr>
            <w:r>
              <w:rPr>
                <w:sz w:val="20"/>
                <w:szCs w:val="20"/>
              </w:rPr>
              <w:t>Normen und Regeln werden nicht benötigt (z.B. Kolonialkriege)</w:t>
            </w:r>
          </w:p>
        </w:tc>
      </w:tr>
      <w:tr>
        <w:trPr/>
        <w:tc>
          <w:tcPr>
            <w:tcW w:w="1126" w:type="dxa"/>
            <w:tcBorders/>
            <w:shd w:color="FFFFFF" w:val="solid"/>
          </w:tcPr>
          <w:p>
            <w:pPr>
              <w:pStyle w:val="TabellenInhalt"/>
              <w:rPr/>
            </w:pPr>
            <w:r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>regellos</w:t>
            </w:r>
          </w:p>
        </w:tc>
        <w:tc>
          <w:tcPr>
            <w:tcW w:w="5933" w:type="dxa"/>
            <w:tcBorders/>
            <w:shd w:color="FFFFFF" w:val="solid"/>
          </w:tcPr>
          <w:p>
            <w:pPr>
              <w:pStyle w:val="TabellenInhalt"/>
              <w:rPr/>
            </w:pPr>
            <w:r>
              <w:rPr>
                <w:sz w:val="20"/>
                <w:szCs w:val="20"/>
              </w:rPr>
              <w:t>Die Konfliktparteien lassen sich nicht auf Regeln ein (z.B. Syrien)</w:t>
            </w:r>
          </w:p>
        </w:tc>
      </w:tr>
      <w:tr>
        <w:trPr/>
        <w:tc>
          <w:tcPr>
            <w:tcW w:w="7059" w:type="dxa"/>
            <w:gridSpan w:val="2"/>
            <w:tcBorders>
              <w:top w:val="single" w:sz="2" w:space="0" w:color="000001"/>
            </w:tcBorders>
            <w:shd w:color="EEEEEE" w:val="solid"/>
          </w:tcPr>
          <w:p>
            <w:pPr>
              <w:pStyle w:val="TabellenInhalt"/>
              <w:rPr/>
            </w:pPr>
            <w:r>
              <w:rPr>
                <w:b/>
                <w:bCs/>
                <w:sz w:val="20"/>
                <w:szCs w:val="20"/>
              </w:rPr>
              <w:t xml:space="preserve">Sachbereiche: </w:t>
            </w:r>
            <w:r>
              <w:rPr>
                <w:sz w:val="20"/>
                <w:szCs w:val="20"/>
              </w:rPr>
              <w:t>Konfliktgegenstände (knappe Güter)</w:t>
            </w:r>
          </w:p>
        </w:tc>
      </w:tr>
      <w:tr>
        <w:trPr/>
        <w:tc>
          <w:tcPr>
            <w:tcW w:w="1126" w:type="dxa"/>
            <w:tcBorders/>
            <w:shd w:color="FFFFFF" w:val="solid"/>
          </w:tcPr>
          <w:p>
            <w:pPr>
              <w:pStyle w:val="TabellenInhalt"/>
              <w:rPr/>
            </w:pPr>
            <w:r>
              <w:rPr>
                <w:sz w:val="20"/>
                <w:szCs w:val="20"/>
              </w:rPr>
              <w:t>Sicherheit</w:t>
            </w:r>
          </w:p>
        </w:tc>
        <w:tc>
          <w:tcPr>
            <w:tcW w:w="5933" w:type="dxa"/>
            <w:tcBorders/>
            <w:shd w:color="FFFFFF" w:val="solid"/>
          </w:tcPr>
          <w:p>
            <w:pPr>
              <w:pStyle w:val="TabellenInhalt"/>
              <w:rPr/>
            </w:pPr>
            <w:r>
              <w:rPr>
                <w:sz w:val="20"/>
                <w:szCs w:val="20"/>
              </w:rPr>
              <w:t>Gewährleistung der eigenen Existenz</w:t>
            </w:r>
          </w:p>
        </w:tc>
      </w:tr>
      <w:tr>
        <w:trPr/>
        <w:tc>
          <w:tcPr>
            <w:tcW w:w="1126" w:type="dxa"/>
            <w:tcBorders/>
            <w:shd w:color="FFFFFF" w:val="solid"/>
          </w:tcPr>
          <w:p>
            <w:pPr>
              <w:pStyle w:val="TabellenInhalt"/>
              <w:rPr/>
            </w:pPr>
            <w:r>
              <w:rPr>
                <w:sz w:val="20"/>
                <w:szCs w:val="20"/>
              </w:rPr>
              <w:t>Wohlfahrt</w:t>
            </w:r>
          </w:p>
        </w:tc>
        <w:tc>
          <w:tcPr>
            <w:tcW w:w="5933" w:type="dxa"/>
            <w:tcBorders/>
            <w:shd w:color="FFFFFF" w:val="solid"/>
          </w:tcPr>
          <w:p>
            <w:pPr>
              <w:pStyle w:val="TabellenInhalt"/>
              <w:rPr/>
            </w:pPr>
            <w:r>
              <w:rPr>
                <w:sz w:val="20"/>
                <w:szCs w:val="20"/>
              </w:rPr>
              <w:t>Schaffung, Mehrung und Verteilung materieller Lebenschancen</w:t>
            </w:r>
          </w:p>
        </w:tc>
      </w:tr>
      <w:tr>
        <w:trPr/>
        <w:tc>
          <w:tcPr>
            <w:tcW w:w="1126" w:type="dxa"/>
            <w:tcBorders/>
            <w:shd w:color="FFFFFF" w:val="solid"/>
          </w:tcPr>
          <w:p>
            <w:pPr>
              <w:pStyle w:val="TabellenInhalt"/>
              <w:rPr/>
            </w:pPr>
            <w:r>
              <w:rPr>
                <w:sz w:val="20"/>
                <w:szCs w:val="20"/>
              </w:rPr>
              <w:t>Herrschaft</w:t>
            </w:r>
          </w:p>
        </w:tc>
        <w:tc>
          <w:tcPr>
            <w:tcW w:w="5933" w:type="dxa"/>
            <w:tcBorders/>
            <w:shd w:color="FFFFFF" w:val="solid"/>
          </w:tcPr>
          <w:p>
            <w:pPr>
              <w:pStyle w:val="TabellenInhalt"/>
              <w:rPr/>
            </w:pPr>
            <w:r>
              <w:rPr>
                <w:sz w:val="20"/>
                <w:szCs w:val="20"/>
              </w:rPr>
              <w:t>Gewährleistung und Verteilung von Partizipationschancen</w:t>
            </w:r>
          </w:p>
        </w:tc>
      </w:tr>
    </w:tbl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/>
      </w:pPr>
      <w:r>
        <w:rPr>
          <w:sz w:val="16"/>
          <w:szCs w:val="16"/>
        </w:rPr>
        <w:t>Nach: Thomas Nielebock/ Volker Rittberger (2007): Wie die Welt erfassen? - Basiskonzepte der Internationalen Beziehungen, in: Weißeno, Georg (Hrsg.) (2007): Politikkompetenz - Was Schule zu leisten hat. Bonn (i.E.) (Schriftenreihe der Bundeszentrale für politische Bildung)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rPr/>
      </w:pPr>
      <w:r>
        <w:rPr>
          <w:b/>
          <w:bCs/>
          <w:sz w:val="20"/>
          <w:szCs w:val="20"/>
        </w:rPr>
        <w:t>M2 Die Spieltheorie zur Erklärung internationaler Politik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/>
      </w:pPr>
      <w:r>
        <w:rPr>
          <w:sz w:val="20"/>
          <w:szCs w:val="20"/>
        </w:rPr>
        <w:t xml:space="preserve">Die Spieltheorie versucht Entscheidungssituationen zu erklären, bei denen die Akteure ihr Entscheidungen abhängig vom Verhalten anderer Akteure machen. </w:t>
      </w:r>
    </w:p>
    <w:p>
      <w:pPr>
        <w:pStyle w:val="Normal"/>
        <w:jc w:val="both"/>
        <w:rPr/>
      </w:pPr>
      <w:r>
        <w:rPr>
          <w:sz w:val="20"/>
          <w:szCs w:val="20"/>
        </w:rPr>
        <w:t xml:space="preserve">In ihrer </w:t>
      </w:r>
      <w:r>
        <w:rPr>
          <w:sz w:val="20"/>
          <w:szCs w:val="20"/>
        </w:rPr>
        <w:t>e</w:t>
      </w:r>
      <w:r>
        <w:rPr>
          <w:sz w:val="20"/>
          <w:szCs w:val="20"/>
        </w:rPr>
        <w:t>infachen Form verknüpft sie die Handlungsoptionen der Akteure in einer Matrix aus vier Zellen: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7089" w:type="dxa"/>
        <w:jc w:val="left"/>
        <w:tblInd w:w="14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64"/>
        <w:gridCol w:w="1647"/>
        <w:gridCol w:w="1191"/>
        <w:gridCol w:w="1132"/>
        <w:gridCol w:w="1247"/>
        <w:gridCol w:w="1307"/>
      </w:tblGrid>
      <w:tr>
        <w:trPr/>
        <w:tc>
          <w:tcPr>
            <w:tcW w:w="564" w:type="dxa"/>
            <w:tcBorders/>
            <w:shd w:color="FFFFFF" w:val="solid"/>
          </w:tcPr>
          <w:p>
            <w:pPr>
              <w:pStyle w:val="TabellenInha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47" w:type="dxa"/>
            <w:tcBorders/>
            <w:shd w:color="FFFFFF" w:val="solid"/>
          </w:tcPr>
          <w:p>
            <w:pPr>
              <w:pStyle w:val="TabellenInha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877" w:type="dxa"/>
            <w:gridSpan w:val="4"/>
            <w:tcBorders/>
            <w:shd w:color="FFFFFF" w:val="solid"/>
          </w:tcPr>
          <w:p>
            <w:pPr>
              <w:pStyle w:val="TabellenInhalt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Akteur A</w:t>
            </w:r>
          </w:p>
        </w:tc>
      </w:tr>
      <w:tr>
        <w:trPr/>
        <w:tc>
          <w:tcPr>
            <w:tcW w:w="564" w:type="dxa"/>
            <w:tcBorders/>
            <w:shd w:color="FFFFFF" w:val="solid"/>
          </w:tcPr>
          <w:p>
            <w:pPr>
              <w:pStyle w:val="TabellenInha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47" w:type="dxa"/>
            <w:tcBorders/>
            <w:shd w:color="FFFFFF" w:val="solid"/>
          </w:tcPr>
          <w:p>
            <w:pPr>
              <w:pStyle w:val="TabellenInha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2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FFFFFF" w:val="solid"/>
            <w:tcMar>
              <w:left w:w="30" w:type="dxa"/>
            </w:tcMar>
          </w:tcPr>
          <w:p>
            <w:pPr>
              <w:pStyle w:val="TabellenInhalt"/>
              <w:jc w:val="left"/>
              <w:rPr/>
            </w:pPr>
            <w:r>
              <w:rPr>
                <w:b/>
                <w:bCs/>
                <w:sz w:val="20"/>
                <w:szCs w:val="20"/>
              </w:rPr>
              <w:t>aufrüsten</w:t>
            </w:r>
          </w:p>
        </w:tc>
        <w:tc>
          <w:tcPr>
            <w:tcW w:w="25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FFFFFF" w:val="solid"/>
            <w:tcMar>
              <w:left w:w="30" w:type="dxa"/>
            </w:tcMar>
          </w:tcPr>
          <w:p>
            <w:pPr>
              <w:pStyle w:val="TabellenInhalt"/>
              <w:jc w:val="left"/>
              <w:rPr/>
            </w:pPr>
            <w:r>
              <w:rPr>
                <w:b/>
                <w:bCs/>
                <w:sz w:val="20"/>
                <w:szCs w:val="20"/>
              </w:rPr>
              <w:t>nicht aufrüsten</w:t>
            </w:r>
          </w:p>
        </w:tc>
      </w:tr>
      <w:tr>
        <w:trPr/>
        <w:tc>
          <w:tcPr>
            <w:tcW w:w="564" w:type="dxa"/>
            <w:vMerge w:val="restart"/>
            <w:tcBorders/>
            <w:shd w:color="FFFFFF" w:val="solid"/>
            <w:textDirection w:val="btLr"/>
            <w:vAlign w:val="center"/>
          </w:tcPr>
          <w:p>
            <w:pPr>
              <w:pStyle w:val="TabellenInhalt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Akteur B</w:t>
            </w:r>
          </w:p>
        </w:tc>
        <w:tc>
          <w:tcPr>
            <w:tcW w:w="164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FFFFFF" w:val="solid"/>
          </w:tcPr>
          <w:p>
            <w:pPr>
              <w:pStyle w:val="TabellenInha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ellenInhalt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aufrüsten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</w:tcBorders>
            <w:shd w:color="FFFFFF" w:val="solid"/>
          </w:tcPr>
          <w:p>
            <w:pPr>
              <w:pStyle w:val="TabellenInhalt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FFFFFF" w:val="solid"/>
          </w:tcPr>
          <w:p>
            <w:pPr>
              <w:pStyle w:val="TabellenInha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</w:tcBorders>
            <w:shd w:color="FFFFFF" w:val="solid"/>
          </w:tcPr>
          <w:p>
            <w:pPr>
              <w:pStyle w:val="TabellenInhalt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FFFFFF" w:val="solid"/>
          </w:tcPr>
          <w:p>
            <w:pPr>
              <w:pStyle w:val="TabellenInha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64" w:type="dxa"/>
            <w:vMerge w:val="continue"/>
            <w:tcBorders/>
            <w:shd w:color="FFFFFF" w:val="solid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4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FFFFFF" w:val="solid"/>
          </w:tcPr>
          <w:p>
            <w:pPr>
              <w:pStyle w:val="Normal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FFFFFF" w:val="solid"/>
          </w:tcPr>
          <w:p>
            <w:pPr>
              <w:pStyle w:val="TabellenInha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FFFFFF" w:val="solid"/>
          </w:tcPr>
          <w:p>
            <w:pPr>
              <w:pStyle w:val="TabellenInhalt"/>
              <w:jc w:val="center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FFFFFF" w:val="solid"/>
          </w:tcPr>
          <w:p>
            <w:pPr>
              <w:pStyle w:val="TabellenInha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FFFFFF" w:val="solid"/>
          </w:tcPr>
          <w:p>
            <w:pPr>
              <w:pStyle w:val="TabellenInhalt"/>
              <w:jc w:val="center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</w:tr>
      <w:tr>
        <w:trPr/>
        <w:tc>
          <w:tcPr>
            <w:tcW w:w="564" w:type="dxa"/>
            <w:vMerge w:val="continue"/>
            <w:tcBorders/>
            <w:shd w:color="FFFFFF" w:val="solid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4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FFFFFF" w:val="solid"/>
          </w:tcPr>
          <w:p>
            <w:pPr>
              <w:pStyle w:val="TabellenInha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ellenInhalt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nicht aufrüsten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</w:tcBorders>
            <w:shd w:color="FFFFFF" w:val="solid"/>
          </w:tcPr>
          <w:p>
            <w:pPr>
              <w:pStyle w:val="TabellenInhalt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FFFFFF" w:val="solid"/>
          </w:tcPr>
          <w:p>
            <w:pPr>
              <w:pStyle w:val="TabellenInha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</w:tcBorders>
            <w:shd w:color="FFFFFF" w:val="solid"/>
          </w:tcPr>
          <w:p>
            <w:pPr>
              <w:pStyle w:val="TabellenInhalt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FFFFFF" w:val="solid"/>
          </w:tcPr>
          <w:p>
            <w:pPr>
              <w:pStyle w:val="TabellenInha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64" w:type="dxa"/>
            <w:vMerge w:val="continue"/>
            <w:tcBorders/>
            <w:shd w:color="FFFFFF" w:val="solid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4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FFFFFF" w:val="solid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FFFFFF" w:val="solid"/>
          </w:tcPr>
          <w:p>
            <w:pPr>
              <w:pStyle w:val="TabellenInha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FFFFFF" w:val="solid"/>
          </w:tcPr>
          <w:p>
            <w:pPr>
              <w:pStyle w:val="TabellenInhalt"/>
              <w:jc w:val="center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FFFFFF" w:val="solid"/>
          </w:tcPr>
          <w:p>
            <w:pPr>
              <w:pStyle w:val="TabellenInha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FFFFFF" w:val="solid"/>
          </w:tcPr>
          <w:p>
            <w:pPr>
              <w:pStyle w:val="TabellenInhalt"/>
              <w:jc w:val="center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/>
      </w:pPr>
      <w:r>
        <w:rPr>
          <w:sz w:val="20"/>
          <w:szCs w:val="20"/>
        </w:rPr>
        <w:t>So lassen sich in den vier Zellen vier unterschiedlich Szenarien darstellen.</w:t>
      </w:r>
    </w:p>
    <w:p>
      <w:pPr>
        <w:pStyle w:val="Normal"/>
        <w:jc w:val="both"/>
        <w:rPr/>
      </w:pPr>
      <w:r>
        <w:rPr>
          <w:sz w:val="20"/>
          <w:szCs w:val="20"/>
        </w:rPr>
        <w:t xml:space="preserve">Die Akteure können nun diese vier Szenarien nach ihren Interessen hierarchisieren und das eigene Verhalten so anpassen, dass die eigenen Interessen möglichst gewahrt bleiben. Diese Vermehrung der </w:t>
      </w:r>
      <w:r>
        <w:rPr>
          <w:sz w:val="20"/>
          <w:szCs w:val="20"/>
        </w:rPr>
        <w:t xml:space="preserve">Sicherheit oder der </w:t>
      </w:r>
      <w:r>
        <w:rPr>
          <w:sz w:val="20"/>
          <w:szCs w:val="20"/>
        </w:rPr>
        <w:t xml:space="preserve">eigenen Wohlfahrt bringt dann eine Verringerung der </w:t>
      </w:r>
      <w:r>
        <w:rPr>
          <w:sz w:val="20"/>
          <w:szCs w:val="20"/>
        </w:rPr>
        <w:t xml:space="preserve">Gesamtsicherheit bzw. der </w:t>
      </w:r>
      <w:r>
        <w:rPr>
          <w:sz w:val="20"/>
          <w:szCs w:val="20"/>
        </w:rPr>
        <w:t xml:space="preserve">Gesamtwohlfahrt mit sich. Dieser Widerspruch wird </w:t>
      </w:r>
      <w:r>
        <w:rPr>
          <w:sz w:val="20"/>
          <w:szCs w:val="20"/>
        </w:rPr>
        <w:t xml:space="preserve">abhängig vom Sachbereich </w:t>
      </w:r>
      <w:r>
        <w:rPr>
          <w:sz w:val="20"/>
          <w:szCs w:val="20"/>
        </w:rPr>
        <w:t xml:space="preserve">als </w:t>
      </w:r>
      <w:r>
        <w:rPr>
          <w:sz w:val="20"/>
          <w:szCs w:val="20"/>
        </w:rPr>
        <w:t xml:space="preserve">Sicherheits- oder </w:t>
      </w:r>
      <w:r>
        <w:rPr>
          <w:sz w:val="20"/>
          <w:szCs w:val="20"/>
        </w:rPr>
        <w:t>Wohlfahrtsdilemma bezeichnet.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/>
      </w:pPr>
      <w:r>
        <w:rPr>
          <w:b/>
          <w:bCs/>
          <w:sz w:val="20"/>
          <w:szCs w:val="20"/>
        </w:rPr>
        <w:t>Arbeitsaufträge:</w:t>
      </w:r>
    </w:p>
    <w:p>
      <w:pPr>
        <w:pStyle w:val="Normal"/>
        <w:jc w:val="both"/>
        <w:rPr/>
      </w:pPr>
      <w:r>
        <w:rPr>
          <w:sz w:val="20"/>
          <w:szCs w:val="20"/>
        </w:rPr>
        <w:t>Charakterisiert unseren Fischereikonflikt mit Hilfe der Schlüsselbegriffe (M1)</w:t>
      </w:r>
    </w:p>
    <w:p>
      <w:pPr>
        <w:pStyle w:val="Normal"/>
        <w:jc w:val="both"/>
        <w:rPr/>
      </w:pPr>
      <w:bookmarkStart w:id="0" w:name="__DdeLink__3225_2609381947"/>
      <w:r>
        <w:rPr>
          <w:sz w:val="20"/>
          <w:szCs w:val="20"/>
        </w:rPr>
        <w:t>Erklärt euer Verhalten mit Hilfe der Spieltheorie. (M2)</w:t>
      </w:r>
      <w:bookmarkEnd w:id="0"/>
    </w:p>
    <w:p>
      <w:pPr>
        <w:pStyle w:val="Normal"/>
        <w:ind w:left="340" w:hanging="0"/>
        <w:jc w:val="both"/>
        <w:rPr/>
      </w:pPr>
      <w:r>
        <w:rPr>
          <w:sz w:val="20"/>
          <w:szCs w:val="20"/>
        </w:rPr>
        <w:t>Benennt die Handlungsoptionen, vor denen ihr (Akteur A) und alle anderen (Akteur B) im Spiel gestanden seid.</w:t>
      </w:r>
    </w:p>
    <w:p>
      <w:pPr>
        <w:pStyle w:val="Normal"/>
        <w:ind w:left="340" w:hanging="0"/>
        <w:jc w:val="both"/>
        <w:rPr/>
      </w:pPr>
      <w:r>
        <w:rPr>
          <w:sz w:val="20"/>
          <w:szCs w:val="20"/>
        </w:rPr>
        <w:t>Hierarchisiert die Szenarien danach, wie sehr sie eurem Interesse entsprechen.</w:t>
      </w:r>
    </w:p>
    <w:p>
      <w:pPr>
        <w:pStyle w:val="Normal"/>
        <w:ind w:left="340" w:hanging="0"/>
        <w:jc w:val="both"/>
        <w:rPr/>
      </w:pPr>
      <w:r>
        <w:rPr>
          <w:sz w:val="20"/>
          <w:szCs w:val="20"/>
        </w:rPr>
        <w:t>Notiert eure Prioritätenliste in die Matrix.</w:t>
      </w:r>
    </w:p>
    <w:p>
      <w:pPr>
        <w:pStyle w:val="Normal"/>
        <w:ind w:left="340" w:hanging="0"/>
        <w:jc w:val="both"/>
        <w:rPr/>
      </w:pPr>
      <w:r>
        <w:rPr>
          <w:sz w:val="20"/>
          <w:szCs w:val="20"/>
        </w:rPr>
        <w:t>Erstellt aus der Perspektive der anderen Akteure ebenfalls eine Prioritätenliste. Notiert diese in einer anderen Farbe in der Matrix.</w:t>
      </w:r>
    </w:p>
    <w:sectPr>
      <w:headerReference w:type="default" r:id="rId2"/>
      <w:type w:val="nextPage"/>
      <w:pgSz w:orient="landscape" w:w="16838" w:h="11906"/>
      <w:pgMar w:left="1134" w:right="1134" w:header="1134" w:top="1785" w:footer="0" w:bottom="1134" w:gutter="0"/>
      <w:pgNumType w:fmt="decimal"/>
      <w:cols w:num="2" w:space="282" w:equalWidth="true" w:sep="false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rPr>
        <w:sz w:val="16"/>
      </w:rPr>
    </w:pPr>
    <w:r>
      <w:rPr>
        <w:sz w:val="16"/>
      </w:rPr>
      <w:t>Gemeinschaftskunde KS</w:t>
    </w:r>
  </w:p>
  <w:p>
    <w:pPr>
      <w:pStyle w:val="Kopfzeile"/>
      <w:rPr>
        <w:sz w:val="16"/>
        <w:u w:val="single"/>
      </w:rPr>
    </w:pPr>
    <w:r>
      <w:rPr>
        <w:sz w:val="16"/>
        <w:u w:val="single"/>
      </w:rPr>
      <w:t>UE: Internationale Politik</w:t>
      <w:tab/>
      <w:tab/>
      <w:t>AB03</w:t>
    </w:r>
  </w:p>
</w:hdr>
</file>

<file path=word/settings.xml><?xml version="1.0" encoding="utf-8"?>
<w:settings xmlns:w="http://schemas.openxmlformats.org/wordprocessingml/2006/main">
  <w:zoom w:percent="28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de-DE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de-DE" w:eastAsia="zh-CN" w:bidi="hi-IN"/>
    </w:rPr>
  </w:style>
  <w:style w:type="character" w:styleId="Zeilennummerierung">
    <w:name w:val="Zeilennummerierung"/>
    <w:rPr>
      <w:sz w:val="16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Lohit Devanagari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ohit Devanagari"/>
    </w:rPr>
  </w:style>
  <w:style w:type="paragraph" w:styleId="TabellenInhalt">
    <w:name w:val="Tabellen Inhalt"/>
    <w:basedOn w:val="Normal"/>
    <w:qFormat/>
    <w:pPr>
      <w:suppressLineNumbers/>
    </w:pPr>
    <w:rPr/>
  </w:style>
  <w:style w:type="paragraph" w:styleId="Kopfzeile">
    <w:name w:val="Header"/>
    <w:basedOn w:val="Normal"/>
    <w:pPr>
      <w:suppressLineNumbers/>
      <w:tabs>
        <w:tab w:val="center" w:pos="7285" w:leader="none"/>
        <w:tab w:val="right" w:pos="1457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A4</Template>
  <TotalTime>3</TotalTime>
  <Application>LibreOffice/6.0.7.3$Linux_X86_64 LibreOffice_project/00m0$Build-3</Application>
  <Pages>1</Pages>
  <Words>309</Words>
  <Characters>2152</Characters>
  <CharactersWithSpaces>2442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2020-02-26T08:17:56Z</dcterms:created>
  <dc:creator/>
  <dc:description/>
  <dc:language>de-DE</dc:language>
  <cp:lastModifiedBy/>
  <dcterms:modified xsi:type="dcterms:W3CDTF">2020-09-25T08:56:42Z</dcterms:modified>
  <cp:revision>4</cp:revision>
  <dc:subject/>
  <dc:title>A4</dc:title>
</cp:coreProperties>
</file>