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E3" w:rsidRDefault="00B521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Vorbemerkung</w:t>
      </w:r>
    </w:p>
    <w:p w:rsidR="001D61C1" w:rsidRPr="00A93A1D" w:rsidRDefault="00A93A1D">
      <w:pPr>
        <w:rPr>
          <w:rFonts w:ascii="Arial" w:hAnsi="Arial" w:cs="Arial"/>
          <w:b/>
        </w:rPr>
      </w:pPr>
      <w:r w:rsidRPr="00A93A1D">
        <w:rPr>
          <w:rFonts w:ascii="Arial" w:hAnsi="Arial" w:cs="Arial"/>
          <w:b/>
        </w:rPr>
        <w:t>Das lan</w:t>
      </w:r>
      <w:r w:rsidR="00B521E3">
        <w:rPr>
          <w:rFonts w:ascii="Arial" w:hAnsi="Arial" w:cs="Arial"/>
          <w:b/>
        </w:rPr>
        <w:t>ge 19. Jahrhundert</w:t>
      </w:r>
      <w:r w:rsidR="00401739">
        <w:rPr>
          <w:rFonts w:ascii="Arial" w:hAnsi="Arial" w:cs="Arial"/>
          <w:b/>
        </w:rPr>
        <w:t xml:space="preserve"> und die Zwischenkriegszeit</w:t>
      </w:r>
      <w:r w:rsidR="00B521E3">
        <w:rPr>
          <w:rFonts w:ascii="Arial" w:hAnsi="Arial" w:cs="Arial"/>
          <w:b/>
        </w:rPr>
        <w:t xml:space="preserve"> – p</w:t>
      </w:r>
      <w:r w:rsidRPr="00A93A1D">
        <w:rPr>
          <w:rFonts w:ascii="Arial" w:hAnsi="Arial" w:cs="Arial"/>
          <w:b/>
        </w:rPr>
        <w:t>olitische Modernisierung in Europa zwischen Hoffnung und Enttäuschung</w:t>
      </w:r>
    </w:p>
    <w:p w:rsidR="00A93A1D" w:rsidRDefault="00A93A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Zeitlich ist die politische Modernisierung im Europa des „langen 19. Jahrhunderts“ </w:t>
      </w:r>
      <w:r w:rsidR="00401739">
        <w:rPr>
          <w:rFonts w:ascii="Arial" w:hAnsi="Arial" w:cs="Arial"/>
        </w:rPr>
        <w:t>und der Zwischenkriegszeit</w:t>
      </w:r>
      <w:r w:rsidR="00401739">
        <w:rPr>
          <w:rStyle w:val="Funotenzeichen"/>
          <w:rFonts w:ascii="Arial" w:hAnsi="Arial" w:cs="Arial"/>
        </w:rPr>
        <w:footnoteReference w:id="1"/>
      </w:r>
      <w:r w:rsidR="00401739">
        <w:rPr>
          <w:rFonts w:ascii="Arial" w:hAnsi="Arial" w:cs="Arial"/>
        </w:rPr>
        <w:t xml:space="preserve"> </w:t>
      </w:r>
      <w:r w:rsidR="00380575">
        <w:rPr>
          <w:rFonts w:ascii="Arial" w:hAnsi="Arial" w:cs="Arial"/>
        </w:rPr>
        <w:t>geglieder</w:t>
      </w:r>
      <w:r>
        <w:rPr>
          <w:rFonts w:ascii="Arial" w:hAnsi="Arial" w:cs="Arial"/>
        </w:rPr>
        <w:t>t durch drei „Durchbrüche“</w:t>
      </w:r>
      <w:r>
        <w:rPr>
          <w:rStyle w:val="Funotenzeichen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der Demokratie: 1789, 1848 und 1918/19. Die immer neuen Anläufe</w:t>
      </w:r>
      <w:r w:rsidR="00380575">
        <w:rPr>
          <w:rFonts w:ascii="Arial" w:hAnsi="Arial" w:cs="Arial"/>
        </w:rPr>
        <w:t xml:space="preserve"> zur Demokratie</w:t>
      </w:r>
      <w:r>
        <w:rPr>
          <w:rFonts w:ascii="Arial" w:hAnsi="Arial" w:cs="Arial"/>
        </w:rPr>
        <w:t xml:space="preserve"> waren </w:t>
      </w:r>
      <w:r w:rsidR="00B521E3">
        <w:rPr>
          <w:rFonts w:ascii="Arial" w:hAnsi="Arial" w:cs="Arial"/>
        </w:rPr>
        <w:t xml:space="preserve">in Europa </w:t>
      </w:r>
      <w:r w:rsidR="00380575">
        <w:rPr>
          <w:rFonts w:ascii="Arial" w:hAnsi="Arial" w:cs="Arial"/>
        </w:rPr>
        <w:t>getragen von zwei immer wiederkehrenden historischen Erfahrungen: von Hoffnung und Enttäuschung</w:t>
      </w:r>
      <w:r w:rsidR="006A71AB">
        <w:rPr>
          <w:rStyle w:val="Funotenzeichen"/>
          <w:rFonts w:ascii="Arial" w:hAnsi="Arial" w:cs="Arial"/>
        </w:rPr>
        <w:footnoteReference w:id="3"/>
      </w:r>
      <w:r w:rsidR="00380575">
        <w:rPr>
          <w:rFonts w:ascii="Arial" w:hAnsi="Arial" w:cs="Arial"/>
        </w:rPr>
        <w:t xml:space="preserve"> gleichermaßen. Sie können im Sinne eines emotionsgeschichtlichen Zugangs</w:t>
      </w:r>
      <w:r w:rsidR="000D7DD2">
        <w:rPr>
          <w:rStyle w:val="Funotenzeichen"/>
          <w:rFonts w:ascii="Arial" w:hAnsi="Arial" w:cs="Arial"/>
        </w:rPr>
        <w:footnoteReference w:id="4"/>
      </w:r>
      <w:r w:rsidR="00380575">
        <w:rPr>
          <w:rFonts w:ascii="Arial" w:hAnsi="Arial" w:cs="Arial"/>
        </w:rPr>
        <w:t xml:space="preserve"> eine altersgemäße Perspektive für die Klasse 8 sein.</w:t>
      </w:r>
      <w:r w:rsidR="00B521E3">
        <w:rPr>
          <w:rFonts w:ascii="Arial" w:hAnsi="Arial" w:cs="Arial"/>
        </w:rPr>
        <w:t xml:space="preserve"> Diese Perspektive</w:t>
      </w:r>
      <w:r w:rsidR="00380575">
        <w:rPr>
          <w:rFonts w:ascii="Arial" w:hAnsi="Arial" w:cs="Arial"/>
        </w:rPr>
        <w:t xml:space="preserve"> passt zum Ansatz einer Kulturgeschichte des Politischen, die Wahrnehmungen, Deutungen und Erfahrungen von Menschen</w:t>
      </w:r>
      <w:r w:rsidR="00B521E3">
        <w:rPr>
          <w:rFonts w:ascii="Arial" w:hAnsi="Arial" w:cs="Arial"/>
        </w:rPr>
        <w:t xml:space="preserve"> in politischen Prozessen</w:t>
      </w:r>
      <w:r w:rsidR="00380575">
        <w:rPr>
          <w:rFonts w:ascii="Arial" w:hAnsi="Arial" w:cs="Arial"/>
        </w:rPr>
        <w:t xml:space="preserve"> in den Blick nimmt.</w:t>
      </w:r>
      <w:r w:rsidR="008508A1">
        <w:rPr>
          <w:rStyle w:val="Funotenzeichen"/>
          <w:rFonts w:ascii="Arial" w:hAnsi="Arial" w:cs="Arial"/>
        </w:rPr>
        <w:footnoteReference w:id="5"/>
      </w:r>
      <w:r w:rsidR="00380575">
        <w:rPr>
          <w:rFonts w:ascii="Arial" w:hAnsi="Arial" w:cs="Arial"/>
        </w:rPr>
        <w:t xml:space="preserve"> </w:t>
      </w:r>
    </w:p>
    <w:p w:rsidR="00380575" w:rsidRDefault="003805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Will man nach politischer Modernisierung in Europa fragen, scheidet ein enzyklopädischer Zugang naturgemäß aus. Es muss vielmehr um </w:t>
      </w:r>
      <w:r w:rsidR="00051989">
        <w:rPr>
          <w:rFonts w:ascii="Arial" w:hAnsi="Arial" w:cs="Arial"/>
        </w:rPr>
        <w:t>typische Räume</w:t>
      </w:r>
      <w:r w:rsidR="008F153D">
        <w:rPr>
          <w:rStyle w:val="Funotenzeichen"/>
          <w:rFonts w:ascii="Arial" w:hAnsi="Arial" w:cs="Arial"/>
        </w:rPr>
        <w:footnoteReference w:id="6"/>
      </w:r>
      <w:r>
        <w:rPr>
          <w:rFonts w:ascii="Arial" w:hAnsi="Arial" w:cs="Arial"/>
        </w:rPr>
        <w:t xml:space="preserve"> </w:t>
      </w:r>
      <w:r w:rsidR="00051989">
        <w:rPr>
          <w:rFonts w:ascii="Arial" w:hAnsi="Arial" w:cs="Arial"/>
        </w:rPr>
        <w:t>gehen, in denen sich die</w:t>
      </w:r>
      <w:r>
        <w:rPr>
          <w:rFonts w:ascii="Arial" w:hAnsi="Arial" w:cs="Arial"/>
        </w:rPr>
        <w:t xml:space="preserve"> unterschiedlichen Entwicklungsbedingungen der europäischen Nat</w:t>
      </w:r>
      <w:r w:rsidR="00F2386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onalstaaten </w:t>
      </w:r>
      <w:r w:rsidR="00051989">
        <w:rPr>
          <w:rFonts w:ascii="Arial" w:hAnsi="Arial" w:cs="Arial"/>
        </w:rPr>
        <w:t>zeigen</w:t>
      </w:r>
      <w:r>
        <w:rPr>
          <w:rFonts w:ascii="Arial" w:hAnsi="Arial" w:cs="Arial"/>
        </w:rPr>
        <w:t>:</w:t>
      </w:r>
    </w:p>
    <w:p w:rsidR="00380575" w:rsidRDefault="00B521E3" w:rsidP="00380575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Es gibt d</w:t>
      </w:r>
      <w:r w:rsidR="00380575">
        <w:rPr>
          <w:rFonts w:ascii="Arial" w:hAnsi="Arial" w:cs="Arial"/>
        </w:rPr>
        <w:t>ie alten Nationalstaaten in</w:t>
      </w:r>
      <w:r w:rsidR="00380575" w:rsidRPr="00380575">
        <w:rPr>
          <w:rFonts w:ascii="Arial" w:hAnsi="Arial" w:cs="Arial"/>
        </w:rPr>
        <w:t xml:space="preserve"> West- und Nordeuropa</w:t>
      </w:r>
      <w:r w:rsidR="0038057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die schon im 18. Jahrhundert bestehen und die sich – wenn auch mit Schwierigkeiten und Gefährdungen – doch recht rasch zu „gelernten Demokratien“ entwickeln. F</w:t>
      </w:r>
      <w:r w:rsidR="00380575">
        <w:rPr>
          <w:rFonts w:ascii="Arial" w:hAnsi="Arial" w:cs="Arial"/>
        </w:rPr>
        <w:t>ür sie soll Frankreich als typisch ausgewählt werden,</w:t>
      </w:r>
      <w:r>
        <w:rPr>
          <w:rFonts w:ascii="Arial" w:hAnsi="Arial" w:cs="Arial"/>
        </w:rPr>
        <w:t xml:space="preserve"> natürlich hätte man auch Großbritannien nehmen können.</w:t>
      </w:r>
    </w:p>
    <w:p w:rsidR="00380575" w:rsidRDefault="00380575" w:rsidP="00380575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Die jungen Nationalstaaten in Mittel- und Südeuropa</w:t>
      </w:r>
      <w:r w:rsidR="008F153D">
        <w:rPr>
          <w:rFonts w:ascii="Arial" w:hAnsi="Arial" w:cs="Arial"/>
        </w:rPr>
        <w:t xml:space="preserve"> entstanden</w:t>
      </w:r>
      <w:r w:rsidR="00051989">
        <w:rPr>
          <w:rFonts w:ascii="Arial" w:hAnsi="Arial" w:cs="Arial"/>
        </w:rPr>
        <w:t xml:space="preserve"> erst</w:t>
      </w:r>
      <w:r w:rsidR="008F153D">
        <w:rPr>
          <w:rFonts w:ascii="Arial" w:hAnsi="Arial" w:cs="Arial"/>
        </w:rPr>
        <w:t xml:space="preserve"> </w:t>
      </w:r>
      <w:r w:rsidR="00051989">
        <w:rPr>
          <w:rFonts w:ascii="Arial" w:hAnsi="Arial" w:cs="Arial"/>
        </w:rPr>
        <w:t xml:space="preserve">im 19. Jahrhundert </w:t>
      </w:r>
      <w:r w:rsidR="008F153D">
        <w:rPr>
          <w:rFonts w:ascii="Arial" w:hAnsi="Arial" w:cs="Arial"/>
        </w:rPr>
        <w:t xml:space="preserve">durch die </w:t>
      </w:r>
      <w:r w:rsidR="00B521E3">
        <w:rPr>
          <w:rFonts w:ascii="Arial" w:hAnsi="Arial" w:cs="Arial"/>
        </w:rPr>
        <w:t xml:space="preserve">oft kriegerische </w:t>
      </w:r>
      <w:r w:rsidR="008F153D">
        <w:rPr>
          <w:rFonts w:ascii="Arial" w:hAnsi="Arial" w:cs="Arial"/>
        </w:rPr>
        <w:t>Vereinigung bereits bestehender Einzelstaaten (unifizierende National</w:t>
      </w:r>
      <w:r w:rsidR="00F23863">
        <w:rPr>
          <w:rFonts w:ascii="Arial" w:hAnsi="Arial" w:cs="Arial"/>
        </w:rPr>
        <w:t>staatsbildung</w:t>
      </w:r>
      <w:r w:rsidR="00051989">
        <w:rPr>
          <w:rFonts w:ascii="Arial" w:hAnsi="Arial" w:cs="Arial"/>
        </w:rPr>
        <w:t xml:space="preserve">) und sind durch diese Kriegserfahrung geprägt. Sie beginnen ihre Entwicklung zu einem modernen Nationalstaat oft als „improvisierte Demokratie“, die anfällig ist für autoritäre, zuweilen auch totalitäre Entgleisungen. </w:t>
      </w:r>
      <w:r w:rsidR="008F153D">
        <w:rPr>
          <w:rFonts w:ascii="Arial" w:hAnsi="Arial" w:cs="Arial"/>
        </w:rPr>
        <w:t>Für sie soll Deutschland als typisch ausgewählt werden</w:t>
      </w:r>
      <w:r w:rsidR="00B521E3">
        <w:rPr>
          <w:rFonts w:ascii="Arial" w:hAnsi="Arial" w:cs="Arial"/>
        </w:rPr>
        <w:t>, man hätte auch Italien nehmen können</w:t>
      </w:r>
      <w:r w:rsidR="008F153D">
        <w:rPr>
          <w:rFonts w:ascii="Arial" w:hAnsi="Arial" w:cs="Arial"/>
        </w:rPr>
        <w:t>.</w:t>
      </w:r>
    </w:p>
    <w:p w:rsidR="008F153D" w:rsidRDefault="008F153D" w:rsidP="00380575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Die häufig noch jüngeren Nationalstaaten im östlichen Mitteleuropa und in Südosteuropa entstanden überwiegend aus einem Prozess der staatlich</w:t>
      </w:r>
      <w:r w:rsidR="00F23863">
        <w:rPr>
          <w:rFonts w:ascii="Arial" w:hAnsi="Arial" w:cs="Arial"/>
        </w:rPr>
        <w:t>en Sezession (sezessionistische</w:t>
      </w:r>
      <w:r>
        <w:rPr>
          <w:rFonts w:ascii="Arial" w:hAnsi="Arial" w:cs="Arial"/>
        </w:rPr>
        <w:t xml:space="preserve"> National</w:t>
      </w:r>
      <w:r w:rsidR="00F23863">
        <w:rPr>
          <w:rFonts w:ascii="Arial" w:hAnsi="Arial" w:cs="Arial"/>
        </w:rPr>
        <w:t>staatsbildung</w:t>
      </w:r>
      <w:r>
        <w:rPr>
          <w:rFonts w:ascii="Arial" w:hAnsi="Arial" w:cs="Arial"/>
        </w:rPr>
        <w:t xml:space="preserve">). Sie entstehen also nicht, wie etwa Deutschland und Italien, aus bereits bestehenden Staatsgebilden, die zusammengefügt werden, sondern durch Abspaltung von einem Imperium (Österreich-Ungarn, Osmanisches Reich, Russland). </w:t>
      </w:r>
      <w:r w:rsidR="00051989">
        <w:rPr>
          <w:rFonts w:ascii="Arial" w:hAnsi="Arial" w:cs="Arial"/>
        </w:rPr>
        <w:t xml:space="preserve">Trotz dieser Unterschiede unterliegen sie ähnlichen Gefährdungen wie die zuvor genannten jungen Nationalstaaten. </w:t>
      </w:r>
      <w:r>
        <w:rPr>
          <w:rFonts w:ascii="Arial" w:hAnsi="Arial" w:cs="Arial"/>
        </w:rPr>
        <w:t>Für sie soll Ungarn als typisch gewählt werden.</w:t>
      </w:r>
    </w:p>
    <w:p w:rsidR="008F153D" w:rsidRDefault="008F153D" w:rsidP="00380575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Einen Sonderfall stellt Polen dar, da</w:t>
      </w:r>
      <w:r w:rsidR="00051989">
        <w:rPr>
          <w:rFonts w:ascii="Arial" w:hAnsi="Arial" w:cs="Arial"/>
        </w:rPr>
        <w:t xml:space="preserve">s seit 1795 geteilt ist und </w:t>
      </w:r>
      <w:r>
        <w:rPr>
          <w:rFonts w:ascii="Arial" w:hAnsi="Arial" w:cs="Arial"/>
        </w:rPr>
        <w:t xml:space="preserve">sich erst 1918 durch die Pariser Vorortverträge als </w:t>
      </w:r>
      <w:r w:rsidR="00B521E3">
        <w:rPr>
          <w:rFonts w:ascii="Arial" w:hAnsi="Arial" w:cs="Arial"/>
        </w:rPr>
        <w:t xml:space="preserve">demokratischer </w:t>
      </w:r>
      <w:r>
        <w:rPr>
          <w:rFonts w:ascii="Arial" w:hAnsi="Arial" w:cs="Arial"/>
        </w:rPr>
        <w:t>Nationalstaat bilde</w:t>
      </w:r>
      <w:r w:rsidR="00F23863">
        <w:rPr>
          <w:rFonts w:ascii="Arial" w:hAnsi="Arial" w:cs="Arial"/>
        </w:rPr>
        <w:t>n kann</w:t>
      </w:r>
      <w:r>
        <w:rPr>
          <w:rFonts w:ascii="Arial" w:hAnsi="Arial" w:cs="Arial"/>
        </w:rPr>
        <w:t>.</w:t>
      </w:r>
      <w:r w:rsidR="00051989">
        <w:rPr>
          <w:rFonts w:ascii="Arial" w:hAnsi="Arial" w:cs="Arial"/>
        </w:rPr>
        <w:t xml:space="preserve"> Politisch ähnelt es in vielem den zuvor genannten jungen Nationalstaaten.</w:t>
      </w:r>
    </w:p>
    <w:p w:rsidR="008F153D" w:rsidRPr="008F153D" w:rsidRDefault="008F153D" w:rsidP="008F153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Diese vier geographischen Zonen in Europa, jeweils vertreten durch ein Land (Frankreich, Deutschland, Ungarn und Polen), sind die Räume, in denen die politische Modernisierung </w:t>
      </w:r>
      <w:r w:rsidR="00A440FC">
        <w:rPr>
          <w:rFonts w:ascii="Arial" w:hAnsi="Arial" w:cs="Arial"/>
        </w:rPr>
        <w:t xml:space="preserve">im Europa des langen 19. Jahrhunderts </w:t>
      </w:r>
      <w:r w:rsidR="00381E84">
        <w:rPr>
          <w:rFonts w:ascii="Arial" w:hAnsi="Arial" w:cs="Arial"/>
        </w:rPr>
        <w:t xml:space="preserve">und der Zwischenkriegszeit </w:t>
      </w:r>
      <w:r w:rsidR="00AC48FC">
        <w:rPr>
          <w:rFonts w:ascii="Arial" w:hAnsi="Arial" w:cs="Arial"/>
        </w:rPr>
        <w:t>verfolgt</w:t>
      </w:r>
      <w:r w:rsidR="00AC48FC">
        <w:rPr>
          <w:rFonts w:ascii="Arial" w:hAnsi="Arial" w:cs="Arial"/>
        </w:rPr>
        <w:t xml:space="preserve"> </w:t>
      </w:r>
      <w:bookmarkStart w:id="0" w:name="_GoBack"/>
      <w:bookmarkEnd w:id="0"/>
      <w:r w:rsidR="00A440FC">
        <w:rPr>
          <w:rFonts w:ascii="Arial" w:hAnsi="Arial" w:cs="Arial"/>
        </w:rPr>
        <w:t xml:space="preserve">werden soll. </w:t>
      </w:r>
    </w:p>
    <w:sectPr w:rsidR="008F153D" w:rsidRPr="008F15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FA8" w:rsidRDefault="00733FA8" w:rsidP="00A93A1D">
      <w:pPr>
        <w:spacing w:after="0" w:line="240" w:lineRule="auto"/>
      </w:pPr>
      <w:r>
        <w:separator/>
      </w:r>
    </w:p>
  </w:endnote>
  <w:endnote w:type="continuationSeparator" w:id="0">
    <w:p w:rsidR="00733FA8" w:rsidRDefault="00733FA8" w:rsidP="00A9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FA8" w:rsidRDefault="00733FA8" w:rsidP="00A93A1D">
      <w:pPr>
        <w:spacing w:after="0" w:line="240" w:lineRule="auto"/>
      </w:pPr>
      <w:r>
        <w:separator/>
      </w:r>
    </w:p>
  </w:footnote>
  <w:footnote w:type="continuationSeparator" w:id="0">
    <w:p w:rsidR="00733FA8" w:rsidRDefault="00733FA8" w:rsidP="00A93A1D">
      <w:pPr>
        <w:spacing w:after="0" w:line="240" w:lineRule="auto"/>
      </w:pPr>
      <w:r>
        <w:continuationSeparator/>
      </w:r>
    </w:p>
  </w:footnote>
  <w:footnote w:id="1">
    <w:p w:rsidR="00401739" w:rsidRDefault="00401739" w:rsidP="00401739">
      <w:pPr>
        <w:pStyle w:val="Funotentext"/>
      </w:pPr>
      <w:r>
        <w:rPr>
          <w:rStyle w:val="Funotenzeichen"/>
        </w:rPr>
        <w:footnoteRef/>
      </w:r>
      <w:r>
        <w:t xml:space="preserve"> Zum Folgenden vgl. Andreas Wirsching, Verfassung und Verfassungskultur im Europa der Zwischenkriegszeit, in: Christoph Gusy (</w:t>
      </w:r>
      <w:proofErr w:type="spellStart"/>
      <w:r>
        <w:t>Hg</w:t>
      </w:r>
      <w:proofErr w:type="spellEnd"/>
      <w:r>
        <w:t>.), Demokratie in der Krise: Europa in der Zwischenkriegszeit. Baden-Baden 2008, S. 371-389.</w:t>
      </w:r>
    </w:p>
  </w:footnote>
  <w:footnote w:id="2">
    <w:p w:rsidR="00A93A1D" w:rsidRDefault="00A93A1D">
      <w:pPr>
        <w:pStyle w:val="Funotentext"/>
      </w:pPr>
      <w:r>
        <w:rPr>
          <w:rStyle w:val="Funotenzeichen"/>
        </w:rPr>
        <w:footnoteRef/>
      </w:r>
      <w:r>
        <w:t xml:space="preserve"> Hartmut </w:t>
      </w:r>
      <w:proofErr w:type="spellStart"/>
      <w:r>
        <w:t>Kaelble</w:t>
      </w:r>
      <w:proofErr w:type="spellEnd"/>
      <w:r>
        <w:t xml:space="preserve">, Wege zur Demokratie. </w:t>
      </w:r>
      <w:r w:rsidR="000D7DD2">
        <w:t xml:space="preserve">Stuttgart </w:t>
      </w:r>
      <w:r>
        <w:t>2001, S. 8</w:t>
      </w:r>
    </w:p>
  </w:footnote>
  <w:footnote w:id="3">
    <w:p w:rsidR="006A71AB" w:rsidRDefault="006A71AB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6A71AB">
        <w:t>Andreas Wirsching, „Zuhören, was andere sagen, oder lesen, was andere schreiben, und das, wenn möglich, rückkoppeln an die eigene Arbeit“, in: Zeitgeschichte-online, August 2011, URL:</w:t>
      </w:r>
      <w:hyperlink r:id="rId1" w:history="1">
        <w:r w:rsidRPr="006A71AB">
          <w:rPr>
            <w:rStyle w:val="Hyperlink"/>
          </w:rPr>
          <w:t>http://www.zeitgeschichte-online.de/interview/interview-mit-andreas-wirsching</w:t>
        </w:r>
      </w:hyperlink>
    </w:p>
  </w:footnote>
  <w:footnote w:id="4">
    <w:p w:rsidR="000D7DD2" w:rsidRDefault="000D7DD2">
      <w:pPr>
        <w:pStyle w:val="Funotentext"/>
      </w:pPr>
      <w:r>
        <w:rPr>
          <w:rStyle w:val="Funotenzeichen"/>
        </w:rPr>
        <w:footnoteRef/>
      </w:r>
      <w:r>
        <w:t xml:space="preserve"> Ute Frevert, Vergängliche Gefühle. Göttingen 2013.</w:t>
      </w:r>
    </w:p>
  </w:footnote>
  <w:footnote w:id="5">
    <w:p w:rsidR="008508A1" w:rsidRDefault="008508A1">
      <w:pPr>
        <w:pStyle w:val="Funotentext"/>
      </w:pPr>
      <w:r>
        <w:rPr>
          <w:rStyle w:val="Funotenzeichen"/>
        </w:rPr>
        <w:footnoteRef/>
      </w:r>
      <w:r>
        <w:t xml:space="preserve"> Z.B. </w:t>
      </w:r>
      <w:r w:rsidR="00BE3F74">
        <w:t>Barbara Stollber</w:t>
      </w:r>
      <w:r w:rsidR="0062330B">
        <w:t>g</w:t>
      </w:r>
      <w:r w:rsidR="00BE3F74">
        <w:t>-</w:t>
      </w:r>
      <w:proofErr w:type="spellStart"/>
      <w:r w:rsidR="00BE3F74">
        <w:t>Rilinger</w:t>
      </w:r>
      <w:proofErr w:type="spellEnd"/>
      <w:r w:rsidR="00BE3F74">
        <w:t xml:space="preserve"> (</w:t>
      </w:r>
      <w:proofErr w:type="spellStart"/>
      <w:r w:rsidR="00BE3F74">
        <w:t>Hg</w:t>
      </w:r>
      <w:proofErr w:type="spellEnd"/>
      <w:r w:rsidR="00BE3F74">
        <w:t>.), Was heißt Kulturgeschichte des Politischen? Berlin 2005</w:t>
      </w:r>
      <w:r w:rsidR="00BE7A10">
        <w:t>;</w:t>
      </w:r>
      <w:r w:rsidR="00BE3F74">
        <w:t xml:space="preserve"> </w:t>
      </w:r>
      <w:r>
        <w:t xml:space="preserve">Wolfgang </w:t>
      </w:r>
      <w:proofErr w:type="spellStart"/>
      <w:r>
        <w:t>Hardtwig</w:t>
      </w:r>
      <w:proofErr w:type="spellEnd"/>
      <w:r>
        <w:t xml:space="preserve"> (</w:t>
      </w:r>
      <w:proofErr w:type="spellStart"/>
      <w:r>
        <w:t>Hg</w:t>
      </w:r>
      <w:proofErr w:type="spellEnd"/>
      <w:r>
        <w:t>.), Politische Kulturgeschichte der Zwischenkriegszeit 1918-1939. Göttingen 2005.</w:t>
      </w:r>
    </w:p>
  </w:footnote>
  <w:footnote w:id="6">
    <w:p w:rsidR="008F153D" w:rsidRDefault="008F153D">
      <w:pPr>
        <w:pStyle w:val="Funotentext"/>
      </w:pPr>
      <w:r>
        <w:rPr>
          <w:rStyle w:val="Funotenzeichen"/>
        </w:rPr>
        <w:footnoteRef/>
      </w:r>
      <w:r>
        <w:t xml:space="preserve"> Theodor Schieder, Typologie und Erscheinungsformen des Nationalstaats in Europa, in: </w:t>
      </w:r>
      <w:proofErr w:type="spellStart"/>
      <w:r>
        <w:t>ders</w:t>
      </w:r>
      <w:proofErr w:type="spellEnd"/>
      <w:r>
        <w:t xml:space="preserve">., </w:t>
      </w:r>
      <w:r w:rsidR="000D7DD2">
        <w:t xml:space="preserve">Nationalismus und Nationalstaat. </w:t>
      </w:r>
      <w:r w:rsidR="008508A1">
        <w:t xml:space="preserve">Studien zum nationalen Problem im modernen Europa. </w:t>
      </w:r>
      <w:r w:rsidR="000D7DD2">
        <w:t>Göttingen</w:t>
      </w:r>
      <w:r>
        <w:t xml:space="preserve"> 1991, S. 65-86.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E50AB"/>
    <w:multiLevelType w:val="hybridMultilevel"/>
    <w:tmpl w:val="44B08CC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1D"/>
    <w:rsid w:val="000333BE"/>
    <w:rsid w:val="00051989"/>
    <w:rsid w:val="000D7DD2"/>
    <w:rsid w:val="000E3694"/>
    <w:rsid w:val="00107BFF"/>
    <w:rsid w:val="001D61C1"/>
    <w:rsid w:val="00293068"/>
    <w:rsid w:val="00380575"/>
    <w:rsid w:val="00381E84"/>
    <w:rsid w:val="00401739"/>
    <w:rsid w:val="00502A53"/>
    <w:rsid w:val="00515BA2"/>
    <w:rsid w:val="0062330B"/>
    <w:rsid w:val="006A71AB"/>
    <w:rsid w:val="00733FA8"/>
    <w:rsid w:val="008508A1"/>
    <w:rsid w:val="008F153D"/>
    <w:rsid w:val="00A440FC"/>
    <w:rsid w:val="00A93A1D"/>
    <w:rsid w:val="00AC48FC"/>
    <w:rsid w:val="00B521E3"/>
    <w:rsid w:val="00BE3F74"/>
    <w:rsid w:val="00BE7A10"/>
    <w:rsid w:val="00C1367F"/>
    <w:rsid w:val="00DF5549"/>
    <w:rsid w:val="00E0763B"/>
    <w:rsid w:val="00F23863"/>
    <w:rsid w:val="00FC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53659-27C7-4890-A658-D79A0DFF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A93A1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93A1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93A1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380575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6A71AB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6A71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itgeschichte-online.de/interview/interview-mit-andreas-wirsch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2447C-D584-4856-8635-CC554249E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Grießinger</dc:creator>
  <cp:lastModifiedBy>Andreas Grießinger</cp:lastModifiedBy>
  <cp:revision>8</cp:revision>
  <dcterms:created xsi:type="dcterms:W3CDTF">2016-02-01T09:23:00Z</dcterms:created>
  <dcterms:modified xsi:type="dcterms:W3CDTF">2016-11-28T15:29:00Z</dcterms:modified>
</cp:coreProperties>
</file>