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LineNumbers/>
        <w:rPr>
          <w:rFonts w:ascii="Calibri" w:hAnsi="Calibri"/>
          <w:b/>
          <w:b/>
          <w:bCs/>
          <w:sz w:val="24"/>
          <w:szCs w:val="24"/>
        </w:rPr>
      </w:pPr>
      <w:r>
        <w:rPr>
          <w:rFonts w:ascii="Calibri" w:hAnsi="Calibri"/>
          <w:b/>
          <w:bCs/>
          <w:sz w:val="24"/>
          <w:szCs w:val="24"/>
        </w:rPr>
      </w:r>
    </w:p>
    <w:p>
      <w:pPr>
        <w:pStyle w:val="Normal"/>
        <w:suppressLineNumbers/>
        <w:rPr>
          <w:sz w:val="24"/>
          <w:szCs w:val="24"/>
        </w:rPr>
      </w:pPr>
      <w:r>
        <w:rPr>
          <w:rFonts w:ascii="Calibri" w:hAnsi="Calibri"/>
          <w:b/>
          <w:bCs/>
          <w:sz w:val="24"/>
          <w:szCs w:val="24"/>
          <w:u w:val="single"/>
        </w:rPr>
        <w:t>Thema:</w:t>
      </w:r>
      <w:r>
        <w:rPr>
          <w:rFonts w:ascii="Calibri" w:hAnsi="Calibri"/>
          <w:b/>
          <w:bCs/>
          <w:sz w:val="24"/>
          <w:szCs w:val="24"/>
          <w:u w:val="none"/>
        </w:rPr>
        <w:t xml:space="preserve"> </w:t>
        <w:tab/>
        <w:t xml:space="preserve">Soll Klimawandel als sicherheitspolitisches Thema in internationalen </w:t>
        <w:tab/>
        <w:tab/>
        <w:tab/>
        <w:tab/>
        <w:tab/>
        <w:t>Organisationen verankert werden?</w:t>
      </w:r>
    </w:p>
    <w:p>
      <w:pPr>
        <w:pStyle w:val="Normal"/>
        <w:suppressLineNumbers/>
        <w:rPr>
          <w:rFonts w:ascii="Calibri" w:hAnsi="Calibri"/>
          <w:b/>
          <w:b/>
          <w:bCs/>
          <w:sz w:val="24"/>
          <w:szCs w:val="24"/>
        </w:rPr>
      </w:pPr>
      <w:r>
        <w:rPr>
          <w:rFonts w:ascii="Calibri" w:hAnsi="Calibri"/>
          <w:b/>
          <w:bCs/>
          <w:sz w:val="24"/>
          <w:szCs w:val="24"/>
        </w:rPr>
      </w:r>
    </w:p>
    <w:p>
      <w:pPr>
        <w:pStyle w:val="Normal"/>
        <w:suppressLineNumbers/>
        <w:rPr>
          <w:sz w:val="24"/>
          <w:szCs w:val="24"/>
        </w:rPr>
      </w:pPr>
      <w:r>
        <w:rPr>
          <w:rFonts w:ascii="Calibri" w:hAnsi="Calibri"/>
          <w:b/>
          <w:bCs/>
          <w:sz w:val="24"/>
          <w:szCs w:val="24"/>
          <w:u w:val="single"/>
        </w:rPr>
        <w:t>Aufgaben:</w:t>
      </w:r>
    </w:p>
    <w:p>
      <w:pPr>
        <w:pStyle w:val="Normal"/>
        <w:suppressLineNumbers/>
        <w:rPr>
          <w:rFonts w:ascii="Calibri" w:hAnsi="Calibri"/>
          <w:b w:val="false"/>
          <w:b w:val="false"/>
          <w:bCs w:val="false"/>
          <w:sz w:val="24"/>
          <w:szCs w:val="24"/>
        </w:rPr>
      </w:pPr>
      <w:r>
        <w:rPr>
          <w:rFonts w:ascii="Calibri" w:hAnsi="Calibri"/>
          <w:b w:val="false"/>
          <w:bCs w:val="false"/>
          <w:sz w:val="24"/>
          <w:szCs w:val="24"/>
        </w:rPr>
      </w:r>
    </w:p>
    <w:p>
      <w:pPr>
        <w:pStyle w:val="Normal"/>
        <w:suppressLineNumbers/>
        <w:spacing w:lineRule="auto" w:line="240" w:before="0" w:after="57"/>
        <w:ind w:left="0" w:right="0" w:hanging="0"/>
        <w:rPr>
          <w:b w:val="false"/>
          <w:b w:val="false"/>
          <w:bCs w:val="false"/>
          <w:sz w:val="24"/>
          <w:szCs w:val="24"/>
        </w:rPr>
      </w:pPr>
      <w:r>
        <w:rPr>
          <w:rFonts w:ascii="Calibri" w:hAnsi="Calibri"/>
          <w:b w:val="false"/>
          <w:bCs w:val="false"/>
          <w:sz w:val="24"/>
          <w:szCs w:val="24"/>
        </w:rPr>
        <w:t xml:space="preserve">(1) </w:t>
        <w:tab/>
        <w:t xml:space="preserve">In einer Umfrage des Pew Research Centers war 2018 der Klimawandel die von den </w:t>
        <w:tab/>
        <w:t>Deutschen am häufigsten benannte Sicherheitsbedrohung.</w:t>
      </w:r>
    </w:p>
    <w:p>
      <w:pPr>
        <w:pStyle w:val="Normal"/>
        <w:suppressLineNumbers/>
        <w:spacing w:lineRule="auto" w:line="240" w:before="0" w:after="283"/>
        <w:ind w:left="0" w:right="0" w:hanging="0"/>
        <w:rPr>
          <w:b w:val="false"/>
          <w:b w:val="false"/>
          <w:bCs w:val="false"/>
          <w:sz w:val="24"/>
          <w:szCs w:val="24"/>
        </w:rPr>
      </w:pPr>
      <w:r>
        <w:rPr>
          <w:rFonts w:ascii="Calibri" w:hAnsi="Calibri"/>
          <w:b w:val="false"/>
          <w:bCs w:val="false"/>
          <w:sz w:val="24"/>
          <w:szCs w:val="24"/>
        </w:rPr>
        <w:tab/>
        <w:t>Nennen Sie weitere Bedrohungen für die Sicherheit der Bundesrepublik.</w:t>
      </w:r>
    </w:p>
    <w:p>
      <w:pPr>
        <w:pStyle w:val="Normal"/>
        <w:suppressLineNumbers/>
        <w:spacing w:lineRule="auto" w:line="360" w:before="0" w:after="170"/>
        <w:ind w:left="0" w:right="0" w:hanging="0"/>
        <w:rPr>
          <w:b w:val="false"/>
          <w:b w:val="false"/>
          <w:bCs w:val="false"/>
          <w:sz w:val="24"/>
          <w:szCs w:val="24"/>
        </w:rPr>
      </w:pPr>
      <w:r>
        <w:rPr>
          <w:rFonts w:ascii="Calibri" w:hAnsi="Calibri"/>
          <w:b w:val="false"/>
          <w:bCs w:val="false"/>
          <w:sz w:val="24"/>
          <w:szCs w:val="24"/>
        </w:rPr>
        <w:t xml:space="preserve">(2) </w:t>
        <w:tab/>
        <w:t>Analysieren Sie  anhand von M2 den Klimawandel als Sicherheitsbedrohung.</w:t>
      </w:r>
    </w:p>
    <w:p>
      <w:pPr>
        <w:pStyle w:val="Normal"/>
        <w:suppressLineNumbers/>
        <w:spacing w:lineRule="auto" w:line="240" w:before="0" w:after="113"/>
        <w:ind w:left="0" w:right="0" w:hanging="0"/>
        <w:rPr/>
      </w:pPr>
      <w:r>
        <w:rPr>
          <w:rFonts w:ascii="Calibri" w:hAnsi="Calibri"/>
          <w:b w:val="false"/>
          <w:bCs w:val="false"/>
          <w:sz w:val="24"/>
          <w:szCs w:val="24"/>
        </w:rPr>
        <w:t xml:space="preserve">(3) </w:t>
        <w:tab/>
        <w:t xml:space="preserve">Die Bundesregierung will „den Klimawandel als sicherheitspolitisches Thema in </w:t>
        <w:tab/>
        <w:t xml:space="preserve">internationalen Organisationen […] verankern.“ </w:t>
      </w:r>
    </w:p>
    <w:p>
      <w:pPr>
        <w:pStyle w:val="Normal"/>
        <w:suppressLineNumbers/>
        <w:spacing w:lineRule="auto" w:line="240" w:before="0" w:after="113"/>
        <w:ind w:left="0" w:right="0" w:hanging="0"/>
        <w:rPr>
          <w:b w:val="false"/>
          <w:b w:val="false"/>
          <w:bCs w:val="false"/>
          <w:sz w:val="24"/>
          <w:szCs w:val="24"/>
        </w:rPr>
      </w:pPr>
      <w:r>
        <w:rPr>
          <w:rFonts w:ascii="Calibri" w:hAnsi="Calibri"/>
          <w:b w:val="false"/>
          <w:bCs w:val="false"/>
          <w:sz w:val="24"/>
          <w:szCs w:val="24"/>
        </w:rPr>
        <w:tab/>
        <w:t>Bewerten Sie diesen Vorschlag.</w:t>
      </w:r>
    </w:p>
    <w:p>
      <w:pPr>
        <w:pStyle w:val="Normal"/>
        <w:suppressLineNumbers/>
        <w:spacing w:lineRule="auto" w:line="240"/>
        <w:rPr>
          <w:rFonts w:ascii="Calibri" w:hAnsi="Calibri"/>
          <w:b w:val="false"/>
          <w:b w:val="false"/>
          <w:bCs w:val="false"/>
          <w:sz w:val="24"/>
          <w:szCs w:val="24"/>
        </w:rPr>
      </w:pPr>
      <w:r>
        <w:rPr>
          <w:rFonts w:ascii="Calibri" w:hAnsi="Calibri"/>
          <w:b w:val="false"/>
          <w:bCs w:val="false"/>
          <w:sz w:val="24"/>
          <w:szCs w:val="24"/>
        </w:rPr>
      </w:r>
    </w:p>
    <w:p>
      <w:pPr>
        <w:pStyle w:val="Normal"/>
        <w:suppressLineNumbers/>
        <w:rPr/>
      </w:pPr>
      <w:r>
        <w:rPr>
          <w:rFonts w:ascii="Calibri" w:hAnsi="Calibri"/>
          <w:b/>
          <w:bCs/>
          <w:sz w:val="26"/>
          <w:szCs w:val="26"/>
          <w:u w:val="single"/>
        </w:rPr>
        <w:t>Material</w:t>
      </w:r>
    </w:p>
    <w:p>
      <w:pPr>
        <w:pStyle w:val="Normal"/>
        <w:suppressLineNumbers/>
        <w:rPr>
          <w:rFonts w:ascii="Calibri" w:hAnsi="Calibri" w:eastAsia="Noto Sans CJK SC Regular" w:cs="Lohit Devanagari"/>
          <w:b/>
          <w:b/>
          <w:bCs/>
          <w:color w:val="auto"/>
          <w:kern w:val="2"/>
          <w:sz w:val="24"/>
          <w:szCs w:val="24"/>
          <w:lang w:val="de-DE" w:eastAsia="zh-CN" w:bidi="hi-IN"/>
        </w:rPr>
      </w:pPr>
      <w:r>
        <w:rPr>
          <w:rFonts w:eastAsia="Noto Sans CJK SC Regular" w:cs="Lohit Devanagari" w:ascii="Calibri" w:hAnsi="Calibri"/>
          <w:b/>
          <w:bCs/>
          <w:color w:val="auto"/>
          <w:kern w:val="2"/>
          <w:sz w:val="24"/>
          <w:szCs w:val="24"/>
          <w:lang w:val="de-DE" w:eastAsia="zh-CN" w:bidi="hi-IN"/>
        </w:rPr>
      </w:r>
    </w:p>
    <w:p>
      <w:pPr>
        <w:pStyle w:val="Normal"/>
        <w:suppressLineNumbers/>
        <w:rPr>
          <w:rFonts w:ascii="Calibri" w:hAnsi="Calibri" w:eastAsia="Noto Sans CJK SC Regular" w:cs="Lohit Devanagari"/>
          <w:b/>
          <w:b/>
          <w:bCs/>
          <w:color w:val="auto"/>
          <w:kern w:val="2"/>
          <w:sz w:val="24"/>
          <w:szCs w:val="24"/>
          <w:lang w:val="de-DE" w:eastAsia="zh-CN" w:bidi="hi-IN"/>
        </w:rPr>
      </w:pPr>
      <w:r>
        <w:rPr>
          <w:rFonts w:eastAsia="Noto Sans CJK SC Regular" w:cs="Lohit Devanagari" w:ascii="Calibri" w:hAnsi="Calibri"/>
          <w:b/>
          <w:bCs/>
          <w:color w:val="auto"/>
          <w:kern w:val="2"/>
          <w:sz w:val="24"/>
          <w:szCs w:val="24"/>
          <w:lang w:val="de-DE" w:eastAsia="zh-CN" w:bidi="hi-IN"/>
        </w:rPr>
        <w:t>M1</w:t>
        <w:tab/>
        <w:t>Klimawandel</w:t>
      </w:r>
    </w:p>
    <w:p>
      <w:pPr>
        <w:pStyle w:val="Normal"/>
        <w:suppressLineNumbers/>
        <w:rPr>
          <w:rFonts w:ascii="Calibri" w:hAnsi="Calibri" w:eastAsia="Noto Sans CJK SC Regular" w:cs="Lohit Devanagari"/>
          <w:b/>
          <w:b/>
          <w:bCs/>
          <w:color w:val="auto"/>
          <w:kern w:val="2"/>
          <w:sz w:val="24"/>
          <w:szCs w:val="24"/>
          <w:lang w:val="de-DE" w:eastAsia="zh-CN" w:bidi="hi-IN"/>
        </w:rPr>
      </w:pPr>
      <w:r>
        <w:rPr>
          <w:rFonts w:eastAsia="Noto Sans CJK SC Regular" w:cs="Lohit Devanagari" w:ascii="Calibri" w:hAnsi="Calibri"/>
          <w:b/>
          <w:bCs/>
          <w:color w:val="auto"/>
          <w:kern w:val="2"/>
          <w:sz w:val="24"/>
          <w:szCs w:val="24"/>
          <w:lang w:val="de-DE" w:eastAsia="zh-CN" w:bidi="hi-IN"/>
        </w:rPr>
        <w:tab/>
        <w:t>aus</w:t>
        <w:tab/>
        <w:t>Weißbuch 2016 – Zur Sicherheitspolitik und Zukunft der Bundeswehr.</w:t>
      </w:r>
    </w:p>
    <w:p>
      <w:pPr>
        <w:pStyle w:val="Normal"/>
        <w:suppressLineNumbers/>
        <w:rPr>
          <w:b w:val="false"/>
          <w:b w:val="false"/>
          <w:bCs w:val="false"/>
        </w:rPr>
      </w:pPr>
      <w:r>
        <w:rPr>
          <w:rFonts w:eastAsia="Noto Sans CJK SC Regular" w:cs="Lohit Devanagari" w:ascii="Calibri" w:hAnsi="Calibri"/>
          <w:b/>
          <w:bCs/>
          <w:color w:val="auto"/>
          <w:kern w:val="2"/>
          <w:sz w:val="24"/>
          <w:szCs w:val="24"/>
          <w:lang w:val="de-DE" w:eastAsia="zh-CN" w:bidi="hi-IN"/>
        </w:rPr>
        <w:tab/>
        <w:t>von</w:t>
        <w:tab/>
        <w:t>Bundesregierung der Bundesrepublik</w:t>
      </w:r>
    </w:p>
    <w:p>
      <w:pPr>
        <w:pStyle w:val="Normal"/>
        <w:suppressLineNumbers/>
        <w:rPr>
          <w:rFonts w:ascii="Calibri" w:hAnsi="Calibri" w:eastAsia="Noto Sans CJK SC Regular" w:cs="Lohit Devanagari"/>
          <w:b/>
          <w:b/>
          <w:bCs/>
          <w:color w:val="auto"/>
          <w:kern w:val="2"/>
          <w:sz w:val="24"/>
          <w:szCs w:val="24"/>
          <w:lang w:val="de-DE" w:eastAsia="zh-CN" w:bidi="hi-IN"/>
        </w:rPr>
      </w:pPr>
      <w:r>
        <w:rPr>
          <w:rFonts w:eastAsia="Noto Sans CJK SC Regular" w:cs="Lohit Devanagari" w:ascii="Calibri" w:hAnsi="Calibri"/>
          <w:b/>
          <w:bCs/>
          <w:color w:val="auto"/>
          <w:kern w:val="2"/>
          <w:sz w:val="24"/>
          <w:szCs w:val="24"/>
          <w:lang w:val="de-DE" w:eastAsia="zh-CN" w:bidi="hi-IN"/>
        </w:rPr>
      </w:r>
    </w:p>
    <w:p>
      <w:pPr>
        <w:pStyle w:val="Normal"/>
        <w:jc w:val="both"/>
        <w:rPr>
          <w:rFonts w:ascii="Calibri" w:hAnsi="Calibri" w:eastAsia="Noto Sans CJK SC Regular" w:cs="Lohit Devanagari"/>
          <w:b w:val="false"/>
          <w:b w:val="false"/>
          <w:bCs w:val="false"/>
          <w:color w:val="auto"/>
          <w:kern w:val="2"/>
          <w:sz w:val="24"/>
          <w:szCs w:val="24"/>
          <w:lang w:val="de-DE" w:eastAsia="zh-CN" w:bidi="hi-IN"/>
        </w:rPr>
      </w:pPr>
      <w:r>
        <w:rPr>
          <w:rFonts w:eastAsia="Noto Sans CJK SC Regular" w:cs="Lohit Devanagari" w:ascii="Calibri" w:hAnsi="Calibri"/>
          <w:b w:val="false"/>
          <w:bCs w:val="false"/>
          <w:color w:val="auto"/>
          <w:kern w:val="2"/>
          <w:sz w:val="24"/>
          <w:szCs w:val="24"/>
          <w:lang w:val="de-DE" w:eastAsia="zh-CN" w:bidi="hi-IN"/>
        </w:rPr>
      </w:r>
    </w:p>
    <w:p>
      <w:pPr>
        <w:pStyle w:val="Normal"/>
        <w:suppressLineNumbers/>
        <w:rPr>
          <w:rFonts w:ascii="Calibri" w:hAnsi="Calibri" w:eastAsia="Noto Sans CJK SC Regular" w:cs="Lohit Devanagari"/>
          <w:b w:val="false"/>
          <w:b w:val="false"/>
          <w:bCs w:val="false"/>
          <w:color w:val="auto"/>
          <w:kern w:val="2"/>
          <w:sz w:val="22"/>
          <w:szCs w:val="22"/>
          <w:lang w:val="de-DE" w:eastAsia="zh-CN" w:bidi="hi-IN"/>
        </w:rPr>
      </w:pPr>
      <w:r>
        <w:rPr>
          <w:rFonts w:eastAsia="Noto Sans CJK SC Regular" w:cs="Lohit Devanagari" w:ascii="Calibri" w:hAnsi="Calibri"/>
          <w:b w:val="false"/>
          <w:bCs w:val="false"/>
          <w:color w:val="auto"/>
          <w:kern w:val="2"/>
          <w:sz w:val="22"/>
          <w:szCs w:val="22"/>
          <w:lang w:val="de-DE" w:eastAsia="zh-CN" w:bidi="hi-IN"/>
        </w:rPr>
      </w:r>
    </w:p>
    <w:p>
      <w:pPr>
        <w:pStyle w:val="Normal"/>
        <w:suppressLineNumbers/>
        <w:rPr>
          <w:rFonts w:ascii="Calibri" w:hAnsi="Calibri" w:eastAsia="Noto Sans CJK SC Regular" w:cs="Lohit Devanagari"/>
          <w:b w:val="false"/>
          <w:b w:val="false"/>
          <w:bCs w:val="false"/>
          <w:color w:val="auto"/>
          <w:kern w:val="2"/>
          <w:sz w:val="18"/>
          <w:szCs w:val="18"/>
          <w:lang w:val="de-DE" w:eastAsia="zh-CN" w:bidi="hi-IN"/>
        </w:rPr>
      </w:pPr>
      <w:r>
        <w:rPr>
          <w:rFonts w:eastAsia="Noto Sans CJK SC Regular" w:cs="Lohit Devanagari" w:ascii="Calibri" w:hAnsi="Calibri"/>
          <w:b w:val="false"/>
          <w:bCs w:val="false"/>
          <w:color w:val="auto"/>
          <w:kern w:val="2"/>
          <w:sz w:val="18"/>
          <w:szCs w:val="18"/>
          <w:lang w:val="de-DE" w:eastAsia="zh-CN" w:bidi="hi-IN"/>
        </w:rPr>
        <w:t xml:space="preserve">fragile Staaten: Staaten, die zu schwach sind, um zentrale Aufgaben z.B. Gewährleistung von </w:t>
      </w:r>
    </w:p>
    <w:p>
      <w:pPr>
        <w:pStyle w:val="Normal"/>
        <w:suppressLineNumbers/>
        <w:rPr>
          <w:sz w:val="16"/>
          <w:szCs w:val="16"/>
        </w:rPr>
      </w:pPr>
      <w:r>
        <w:rPr>
          <w:rFonts w:eastAsia="Noto Sans CJK SC Regular" w:cs="Lohit Devanagari" w:ascii="Calibri" w:hAnsi="Calibri"/>
          <w:b w:val="false"/>
          <w:bCs w:val="false"/>
          <w:color w:val="auto"/>
          <w:kern w:val="2"/>
          <w:sz w:val="18"/>
          <w:szCs w:val="18"/>
          <w:lang w:val="de-DE" w:eastAsia="zh-CN" w:bidi="hi-IN"/>
        </w:rPr>
        <w:tab/>
        <w:t>Sicherheit für ihre Bürgerinnen und Bürger zu übernehmen.</w:t>
        <w:tab/>
      </w:r>
    </w:p>
    <w:p>
      <w:pPr>
        <w:pStyle w:val="Normal"/>
        <w:suppressLineNumbers/>
        <w:rPr>
          <w:sz w:val="16"/>
          <w:szCs w:val="16"/>
        </w:rPr>
      </w:pPr>
      <w:r>
        <w:rPr>
          <w:rFonts w:eastAsia="Noto Sans CJK SC Regular" w:cs="Lohit Devanagari" w:ascii="Calibri" w:hAnsi="Calibri"/>
          <w:b w:val="false"/>
          <w:bCs w:val="false"/>
          <w:color w:val="auto"/>
          <w:kern w:val="2"/>
          <w:sz w:val="18"/>
          <w:szCs w:val="18"/>
          <w:lang w:val="de-DE" w:eastAsia="zh-CN" w:bidi="hi-IN"/>
        </w:rPr>
        <w:t>Resilienz: Fähigkeit, mit schwierigen Situationen um zu gehen.</w:t>
        <w:tab/>
      </w:r>
    </w:p>
    <w:p>
      <w:pPr>
        <w:pStyle w:val="Normal"/>
        <w:suppressLineNumbers/>
        <w:rPr>
          <w:rFonts w:ascii="Calibri" w:hAnsi="Calibri" w:eastAsia="Noto Sans CJK SC Regular" w:cs="Lohit Devanagari"/>
          <w:b w:val="false"/>
          <w:b w:val="false"/>
          <w:bCs w:val="false"/>
          <w:color w:val="auto"/>
          <w:kern w:val="2"/>
          <w:sz w:val="18"/>
          <w:szCs w:val="18"/>
          <w:lang w:val="de-DE" w:eastAsia="zh-CN" w:bidi="hi-IN"/>
        </w:rPr>
      </w:pPr>
      <w:r>
        <w:rPr>
          <w:rFonts w:eastAsia="Noto Sans CJK SC Regular" w:cs="Lohit Devanagari" w:ascii="Calibri" w:hAnsi="Calibri"/>
          <w:b w:val="false"/>
          <w:bCs w:val="false"/>
          <w:color w:val="auto"/>
          <w:kern w:val="2"/>
          <w:sz w:val="18"/>
          <w:szCs w:val="18"/>
          <w:lang w:val="de-DE" w:eastAsia="zh-CN" w:bidi="hi-IN"/>
        </w:rPr>
      </w:r>
      <w:r>
        <w:br w:type="page"/>
      </w:r>
    </w:p>
    <w:p>
      <w:pPr>
        <w:pStyle w:val="Normal"/>
        <w:rPr>
          <w:rFonts w:ascii="Calibri" w:hAnsi="Calibri" w:eastAsia="Noto Sans CJK SC Regular" w:cs="Lohit Devanagari"/>
          <w:b w:val="false"/>
          <w:b w:val="false"/>
          <w:bCs w:val="false"/>
          <w:color w:val="auto"/>
          <w:kern w:val="2"/>
          <w:sz w:val="24"/>
          <w:szCs w:val="24"/>
          <w:lang w:val="de-DE" w:eastAsia="zh-CN" w:bidi="hi-IN"/>
        </w:rPr>
      </w:pPr>
      <w:bookmarkStart w:id="0" w:name="__DdeLink__421_3162866493"/>
      <w:bookmarkEnd w:id="0"/>
      <w:r>
        <w:rPr>
          <w:rFonts w:eastAsia="Noto Sans CJK SC Regular" w:cs="Lohit Devanagari" w:ascii="Calibri" w:hAnsi="Calibri"/>
          <w:b/>
          <w:bCs/>
          <w:color w:val="auto"/>
          <w:kern w:val="2"/>
          <w:sz w:val="24"/>
          <w:szCs w:val="24"/>
          <w:u w:val="single"/>
          <w:lang w:val="de-DE" w:eastAsia="zh-CN" w:bidi="hi-IN"/>
        </w:rPr>
        <w:t>Erwartungshorizont:</w:t>
      </w:r>
    </w:p>
    <w:p>
      <w:pPr>
        <w:pStyle w:val="Normal"/>
        <w:suppressLineNumbers/>
        <w:rPr>
          <w:rFonts w:ascii="Calibri" w:hAnsi="Calibri"/>
          <w:sz w:val="24"/>
          <w:szCs w:val="24"/>
        </w:rPr>
      </w:pPr>
      <w:r>
        <w:rPr>
          <w:rFonts w:ascii="Calibri" w:hAnsi="Calibri"/>
          <w:sz w:val="24"/>
          <w:szCs w:val="24"/>
        </w:rPr>
      </w:r>
    </w:p>
    <w:p>
      <w:pPr>
        <w:pStyle w:val="Normal"/>
        <w:suppressLineNumbers/>
        <w:jc w:val="both"/>
        <w:rPr>
          <w:sz w:val="24"/>
          <w:szCs w:val="24"/>
        </w:rPr>
      </w:pPr>
      <w:r>
        <w:rPr>
          <w:rFonts w:ascii="Calibri" w:hAnsi="Calibri"/>
          <w:sz w:val="24"/>
          <w:szCs w:val="24"/>
        </w:rPr>
        <w:t xml:space="preserve">1. </w:t>
      </w:r>
      <w:r>
        <w:rPr>
          <w:rFonts w:ascii="Calibri" w:hAnsi="Calibri"/>
          <w:i/>
          <w:iCs/>
          <w:sz w:val="24"/>
          <w:szCs w:val="24"/>
        </w:rPr>
        <w:t>Es reicht das unkommentierte Nennen von wenigstens zwei weiteren Bedrohungen</w:t>
      </w:r>
    </w:p>
    <w:p>
      <w:pPr>
        <w:pStyle w:val="Normal"/>
        <w:suppressLineNumbers/>
        <w:jc w:val="both"/>
        <w:rPr>
          <w:sz w:val="22"/>
          <w:szCs w:val="22"/>
        </w:rPr>
      </w:pPr>
      <w:r>
        <w:rPr>
          <w:rFonts w:ascii="Calibri" w:hAnsi="Calibri"/>
          <w:sz w:val="22"/>
          <w:szCs w:val="22"/>
        </w:rPr>
        <w:t xml:space="preserve">zum Beispiel nach dem Weißbuch der Bundesregierung: </w:t>
      </w:r>
    </w:p>
    <w:p>
      <w:pPr>
        <w:pStyle w:val="Normal"/>
        <w:suppressLineNumbers/>
        <w:jc w:val="both"/>
        <w:rPr>
          <w:sz w:val="22"/>
          <w:szCs w:val="22"/>
        </w:rPr>
      </w:pPr>
      <w:r>
        <w:rPr>
          <w:rFonts w:ascii="Calibri" w:hAnsi="Calibri"/>
          <w:sz w:val="22"/>
          <w:szCs w:val="22"/>
        </w:rPr>
        <w:t>Transnationaler Terrorismus, Herausforderungen aus dem Cyber- und Informationsraum, Zwischenstaatliche Konflikte, Fragile Staatlichkeit und schlechte Regierungsführung, Weltweite Aufrüstung und Proliferation von Massenvernichtungswaffen, Gefährdung der Informations-, Kommunikations-, Versorgungs-, Transport- und Handelslinien und der Sicherheit der Rohstoff- und Energieversorgung, Unkontrollierte und irreguläre Migration, Pandemien und Seuchen</w:t>
      </w:r>
    </w:p>
    <w:p>
      <w:pPr>
        <w:pStyle w:val="Normal"/>
        <w:suppressLineNumbers/>
        <w:jc w:val="both"/>
        <w:rPr>
          <w:rFonts w:ascii="Calibri" w:hAnsi="Calibri"/>
          <w:sz w:val="24"/>
          <w:szCs w:val="24"/>
        </w:rPr>
      </w:pPr>
      <w:r>
        <w:rPr>
          <w:rFonts w:ascii="Calibri" w:hAnsi="Calibri"/>
          <w:sz w:val="24"/>
          <w:szCs w:val="24"/>
        </w:rPr>
      </w:r>
    </w:p>
    <w:p>
      <w:pPr>
        <w:pStyle w:val="Normal"/>
        <w:suppressLineNumbers/>
        <w:jc w:val="both"/>
        <w:rPr>
          <w:sz w:val="24"/>
          <w:szCs w:val="24"/>
        </w:rPr>
      </w:pPr>
      <w:r>
        <w:rPr>
          <w:rFonts w:ascii="Calibri" w:hAnsi="Calibri"/>
          <w:i w:val="false"/>
          <w:iCs w:val="false"/>
          <w:sz w:val="24"/>
          <w:szCs w:val="24"/>
        </w:rPr>
        <w:t>2.</w:t>
      </w:r>
      <w:r>
        <w:rPr>
          <w:rFonts w:ascii="Calibri" w:hAnsi="Calibri"/>
          <w:i/>
          <w:iCs/>
          <w:sz w:val="24"/>
          <w:szCs w:val="24"/>
        </w:rPr>
        <w:t xml:space="preserve"> </w:t>
      </w:r>
      <w:r>
        <w:rPr>
          <w:rFonts w:ascii="Calibri" w:hAnsi="Calibri"/>
          <w:b w:val="false"/>
          <w:i/>
          <w:iCs/>
          <w:color w:val="000000"/>
          <w:kern w:val="2"/>
          <w:sz w:val="24"/>
          <w:szCs w:val="24"/>
        </w:rPr>
        <w:t xml:space="preserve">Erwartet wird die zielgerichtete Auswertung des Textes und die zusammenhängende Darstellung der Ergebnisse. Dazu können beispielsweise Modelle der Problemanalyse oder Modelle zur Analyse von Sicherheitsbedrohungen Anwendung finden. </w:t>
      </w:r>
    </w:p>
    <w:p>
      <w:pPr>
        <w:pStyle w:val="Normal"/>
        <w:suppressLineNumbers/>
        <w:jc w:val="both"/>
        <w:rPr>
          <w:sz w:val="22"/>
          <w:szCs w:val="22"/>
        </w:rPr>
      </w:pPr>
      <w:r>
        <w:rPr>
          <w:rFonts w:ascii="Calibri" w:hAnsi="Calibri"/>
          <w:sz w:val="22"/>
          <w:szCs w:val="22"/>
        </w:rPr>
        <w:t>Ab Bildungsplan 2016 kann beispielsweise eine Einordnung in die  vier Dimensionen des Sicherheitsbegriffs erwartet werden.</w:t>
      </w:r>
    </w:p>
    <w:tbl>
      <w:tblPr>
        <w:tblW w:w="9643"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Pr>
      <w:tblGrid>
        <w:gridCol w:w="2323"/>
        <w:gridCol w:w="7319"/>
      </w:tblGrid>
      <w:tr>
        <w:trPr/>
        <w:tc>
          <w:tcPr>
            <w:tcW w:w="2323" w:type="dxa"/>
            <w:tcBorders>
              <w:top w:val="single" w:sz="2" w:space="0" w:color="000000"/>
              <w:left w:val="single" w:sz="2" w:space="0" w:color="000000"/>
              <w:bottom w:val="single" w:sz="2" w:space="0" w:color="000000"/>
              <w:insideH w:val="single" w:sz="2" w:space="0" w:color="000000"/>
            </w:tcBorders>
            <w:shd w:fill="auto" w:val="clear"/>
          </w:tcPr>
          <w:p>
            <w:pPr>
              <w:pStyle w:val="Normal"/>
              <w:suppressLineNumbers/>
              <w:jc w:val="both"/>
              <w:rPr>
                <w:sz w:val="22"/>
                <w:szCs w:val="22"/>
              </w:rPr>
            </w:pPr>
            <w:r>
              <w:rPr>
                <w:rFonts w:ascii="Calibri" w:hAnsi="Calibri"/>
                <w:sz w:val="22"/>
                <w:szCs w:val="22"/>
              </w:rPr>
              <w:t>Referenzdimension</w:t>
            </w:r>
          </w:p>
        </w:tc>
        <w:tc>
          <w:tcPr>
            <w:tcW w:w="73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LineNumbers/>
              <w:jc w:val="both"/>
              <w:rPr/>
            </w:pPr>
            <w:r>
              <w:rPr>
                <w:rFonts w:ascii="Calibri" w:hAnsi="Calibri"/>
                <w:sz w:val="22"/>
                <w:szCs w:val="22"/>
              </w:rPr>
              <w:t>Staaten und Menschen („Staaten und ihre Bevölkerung“ )</w:t>
            </w:r>
          </w:p>
        </w:tc>
      </w:tr>
      <w:tr>
        <w:trPr/>
        <w:tc>
          <w:tcPr>
            <w:tcW w:w="2323" w:type="dxa"/>
            <w:tcBorders>
              <w:top w:val="single" w:sz="2" w:space="0" w:color="000000"/>
              <w:left w:val="single" w:sz="2" w:space="0" w:color="000000"/>
              <w:bottom w:val="single" w:sz="2" w:space="0" w:color="000000"/>
              <w:insideH w:val="single" w:sz="2" w:space="0" w:color="000000"/>
            </w:tcBorders>
            <w:shd w:fill="auto" w:val="clear"/>
          </w:tcPr>
          <w:p>
            <w:pPr>
              <w:pStyle w:val="Normal"/>
              <w:suppressLineNumbers/>
              <w:jc w:val="both"/>
              <w:rPr>
                <w:sz w:val="22"/>
                <w:szCs w:val="22"/>
              </w:rPr>
            </w:pPr>
            <w:r>
              <w:rPr>
                <w:rFonts w:ascii="Calibri" w:hAnsi="Calibri"/>
                <w:sz w:val="22"/>
                <w:szCs w:val="22"/>
              </w:rPr>
              <w:t>Sachdimension</w:t>
            </w:r>
          </w:p>
        </w:tc>
        <w:tc>
          <w:tcPr>
            <w:tcW w:w="73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LineNumbers/>
              <w:jc w:val="both"/>
              <w:rPr/>
            </w:pPr>
            <w:r>
              <w:rPr>
                <w:rFonts w:ascii="Calibri" w:hAnsi="Calibri"/>
                <w:sz w:val="22"/>
                <w:szCs w:val="22"/>
              </w:rPr>
              <w:t>Zunächst ökologisch, perspektivisch auch humanitär („Lebensgrundlage“ oder  militärisch („gewaltsame Auseinandersetzung“)</w:t>
            </w:r>
          </w:p>
        </w:tc>
      </w:tr>
      <w:tr>
        <w:trPr/>
        <w:tc>
          <w:tcPr>
            <w:tcW w:w="2323" w:type="dxa"/>
            <w:tcBorders>
              <w:top w:val="single" w:sz="2" w:space="0" w:color="000000"/>
              <w:left w:val="single" w:sz="2" w:space="0" w:color="000000"/>
              <w:bottom w:val="single" w:sz="2" w:space="0" w:color="000000"/>
              <w:insideH w:val="single" w:sz="2" w:space="0" w:color="000000"/>
            </w:tcBorders>
            <w:shd w:fill="auto" w:val="clear"/>
          </w:tcPr>
          <w:p>
            <w:pPr>
              <w:pStyle w:val="Normal"/>
              <w:suppressLineNumbers/>
              <w:jc w:val="both"/>
              <w:rPr>
                <w:sz w:val="22"/>
                <w:szCs w:val="22"/>
              </w:rPr>
            </w:pPr>
            <w:r>
              <w:rPr>
                <w:rFonts w:ascii="Calibri" w:hAnsi="Calibri"/>
                <w:sz w:val="22"/>
                <w:szCs w:val="22"/>
              </w:rPr>
              <w:t>Raumdimension</w:t>
            </w:r>
          </w:p>
        </w:tc>
        <w:tc>
          <w:tcPr>
            <w:tcW w:w="73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LineNumbers/>
              <w:jc w:val="both"/>
              <w:rPr/>
            </w:pPr>
            <w:r>
              <w:rPr>
                <w:rFonts w:ascii="Calibri" w:hAnsi="Calibri"/>
                <w:sz w:val="22"/>
                <w:szCs w:val="22"/>
              </w:rPr>
              <w:t>Global „globaler Trend“</w:t>
            </w:r>
          </w:p>
        </w:tc>
      </w:tr>
      <w:tr>
        <w:trPr/>
        <w:tc>
          <w:tcPr>
            <w:tcW w:w="2323" w:type="dxa"/>
            <w:tcBorders>
              <w:top w:val="single" w:sz="2" w:space="0" w:color="000000"/>
              <w:left w:val="single" w:sz="2" w:space="0" w:color="000000"/>
              <w:bottom w:val="single" w:sz="2" w:space="0" w:color="000000"/>
              <w:insideH w:val="single" w:sz="2" w:space="0" w:color="000000"/>
            </w:tcBorders>
            <w:shd w:fill="auto" w:val="clear"/>
          </w:tcPr>
          <w:p>
            <w:pPr>
              <w:pStyle w:val="Normal"/>
              <w:suppressLineNumbers/>
              <w:jc w:val="both"/>
              <w:rPr>
                <w:sz w:val="22"/>
                <w:szCs w:val="22"/>
              </w:rPr>
            </w:pPr>
            <w:r>
              <w:rPr>
                <w:rFonts w:ascii="Calibri" w:hAnsi="Calibri"/>
                <w:sz w:val="22"/>
                <w:szCs w:val="22"/>
              </w:rPr>
              <w:t>Gefahrendimension</w:t>
            </w:r>
          </w:p>
        </w:tc>
        <w:tc>
          <w:tcPr>
            <w:tcW w:w="73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LineNumbers/>
              <w:jc w:val="both"/>
              <w:rPr>
                <w:sz w:val="22"/>
                <w:szCs w:val="22"/>
              </w:rPr>
            </w:pPr>
            <w:r>
              <w:rPr>
                <w:rFonts w:ascii="Calibri" w:hAnsi="Calibri"/>
                <w:sz w:val="22"/>
                <w:szCs w:val="22"/>
              </w:rPr>
              <w:t>Risiko, da kein unmittelbar feindseliges Verhalten hinter dem Klimawandel liegt.</w:t>
            </w:r>
          </w:p>
        </w:tc>
      </w:tr>
    </w:tbl>
    <w:p>
      <w:pPr>
        <w:pStyle w:val="Normal"/>
        <w:suppressLineNumbers/>
        <w:jc w:val="both"/>
        <w:rPr>
          <w:rFonts w:ascii="Calibri" w:hAnsi="Calibri"/>
        </w:rPr>
      </w:pPr>
      <w:r>
        <w:rPr>
          <w:rFonts w:ascii="Calibri" w:hAnsi="Calibri"/>
        </w:rPr>
      </w:r>
    </w:p>
    <w:p>
      <w:pPr>
        <w:pStyle w:val="Normal"/>
        <w:suppressLineNumbers/>
        <w:jc w:val="both"/>
        <w:rPr>
          <w:sz w:val="24"/>
          <w:szCs w:val="24"/>
        </w:rPr>
      </w:pPr>
      <w:r>
        <w:rPr>
          <w:rFonts w:ascii="Calibri" w:hAnsi="Calibri"/>
          <w:sz w:val="24"/>
          <w:szCs w:val="24"/>
        </w:rPr>
        <w:t xml:space="preserve">3. </w:t>
      </w:r>
      <w:r>
        <w:rPr>
          <w:rFonts w:ascii="Calibri" w:hAnsi="Calibri"/>
          <w:i/>
          <w:iCs/>
          <w:sz w:val="24"/>
          <w:szCs w:val="24"/>
        </w:rPr>
        <w:t>Erwartet wird die Nennung und Prüfung von passenden Urteilskriterien (z.B. Legalität, Effektivität, Effizienz, Legitimität) sowie die abschließende Positionierung mit begründeter Offenlegung der eigenen Werthaltung. Innerhalb der jeweiligen Kriterien steht es den Geprüften offen, auf welche Institution sie sich beziehen und welche Schwerpunkte sie jeweils setzen. Zentral ist die Ausgewogenheit und innere Schlüssigkeit der Argumentation. Eine mögliche Darstellung wäre:</w:t>
      </w:r>
    </w:p>
    <w:tbl>
      <w:tblPr>
        <w:tblW w:w="9972"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2" w:type="dxa"/>
          <w:bottom w:w="55" w:type="dxa"/>
          <w:right w:w="55" w:type="dxa"/>
        </w:tblCellMar>
      </w:tblPr>
      <w:tblGrid>
        <w:gridCol w:w="4986"/>
        <w:gridCol w:w="4985"/>
      </w:tblGrid>
      <w:tr>
        <w:trPr/>
        <w:tc>
          <w:tcPr>
            <w:tcW w:w="9971"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LineNumbers/>
              <w:jc w:val="both"/>
              <w:rPr>
                <w:sz w:val="22"/>
                <w:szCs w:val="22"/>
              </w:rPr>
            </w:pPr>
            <w:r>
              <w:rPr>
                <w:rFonts w:ascii="Calibri" w:hAnsi="Calibri"/>
                <w:sz w:val="22"/>
                <w:szCs w:val="22"/>
              </w:rPr>
              <w:t xml:space="preserve">UNO als geeignetes Forum, da diese sich in ihrem ersten Artikel 1(3) ihrer Charta da Ziel gesetzt hat, auch Probleme „humanitärer Art“ zu lösen. </w:t>
            </w:r>
          </w:p>
        </w:tc>
      </w:tr>
      <w:tr>
        <w:trPr/>
        <w:tc>
          <w:tcPr>
            <w:tcW w:w="498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LineNumbers/>
              <w:jc w:val="both"/>
              <w:rPr>
                <w:sz w:val="22"/>
                <w:szCs w:val="22"/>
              </w:rPr>
            </w:pPr>
            <w:r>
              <w:rPr>
                <w:rFonts w:ascii="Calibri" w:hAnsi="Calibri"/>
                <w:sz w:val="22"/>
                <w:szCs w:val="22"/>
              </w:rPr>
              <w:t>Legitimität</w:t>
            </w:r>
          </w:p>
        </w:tc>
        <w:tc>
          <w:tcPr>
            <w:tcW w:w="49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LineNumbers/>
              <w:jc w:val="both"/>
              <w:rPr>
                <w:sz w:val="22"/>
                <w:szCs w:val="22"/>
              </w:rPr>
            </w:pPr>
            <w:r>
              <w:rPr>
                <w:rFonts w:ascii="Calibri" w:hAnsi="Calibri"/>
                <w:sz w:val="22"/>
                <w:szCs w:val="22"/>
              </w:rPr>
              <w:t>Effektivität</w:t>
            </w:r>
          </w:p>
        </w:tc>
      </w:tr>
      <w:tr>
        <w:trPr/>
        <w:tc>
          <w:tcPr>
            <w:tcW w:w="498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LineNumbers/>
              <w:jc w:val="both"/>
              <w:rPr>
                <w:sz w:val="22"/>
                <w:szCs w:val="22"/>
              </w:rPr>
            </w:pPr>
            <w:r>
              <w:rPr>
                <w:rFonts w:ascii="Calibri" w:hAnsi="Calibri"/>
                <w:sz w:val="22"/>
                <w:szCs w:val="22"/>
              </w:rPr>
              <w:t>Globales Forum zum Austausch</w:t>
            </w:r>
          </w:p>
          <w:p>
            <w:pPr>
              <w:pStyle w:val="Normal"/>
              <w:suppressLineNumbers/>
              <w:jc w:val="both"/>
              <w:rPr>
                <w:sz w:val="22"/>
                <w:szCs w:val="22"/>
              </w:rPr>
            </w:pPr>
            <w:r>
              <w:rPr>
                <w:rFonts w:ascii="Calibri" w:hAnsi="Calibri"/>
                <w:sz w:val="22"/>
                <w:szCs w:val="22"/>
              </w:rPr>
              <w:t>Hohe Zahl der vertretenen Nationen</w:t>
            </w:r>
          </w:p>
          <w:p>
            <w:pPr>
              <w:pStyle w:val="Normal"/>
              <w:suppressLineNumbers/>
              <w:jc w:val="both"/>
              <w:rPr>
                <w:sz w:val="22"/>
                <w:szCs w:val="22"/>
              </w:rPr>
            </w:pPr>
            <w:r>
              <w:rPr>
                <w:rFonts w:ascii="Calibri" w:hAnsi="Calibri"/>
                <w:sz w:val="22"/>
                <w:szCs w:val="22"/>
              </w:rPr>
              <w:t>aber: Ungleiche Stellung des Sicherheitsrats</w:t>
            </w:r>
          </w:p>
          <w:p>
            <w:pPr>
              <w:pStyle w:val="Normal"/>
              <w:suppressLineNumbers/>
              <w:jc w:val="both"/>
              <w:rPr>
                <w:sz w:val="22"/>
                <w:szCs w:val="22"/>
              </w:rPr>
            </w:pPr>
            <w:r>
              <w:rPr>
                <w:rFonts w:ascii="Calibri" w:hAnsi="Calibri"/>
                <w:sz w:val="22"/>
                <w:szCs w:val="22"/>
              </w:rPr>
              <w:t>Tradition bei der Behandlung des Themas</w:t>
            </w:r>
          </w:p>
        </w:tc>
        <w:tc>
          <w:tcPr>
            <w:tcW w:w="49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LineNumbers/>
              <w:jc w:val="both"/>
              <w:rPr>
                <w:sz w:val="22"/>
                <w:szCs w:val="22"/>
              </w:rPr>
            </w:pPr>
            <w:r>
              <w:rPr>
                <w:rFonts w:ascii="Calibri" w:hAnsi="Calibri"/>
                <w:sz w:val="22"/>
                <w:szCs w:val="22"/>
              </w:rPr>
              <w:t>Bisher kein wirklichen Erfolge</w:t>
            </w:r>
          </w:p>
          <w:p>
            <w:pPr>
              <w:pStyle w:val="Normal"/>
              <w:suppressLineNumbers/>
              <w:jc w:val="both"/>
              <w:rPr>
                <w:sz w:val="22"/>
                <w:szCs w:val="22"/>
              </w:rPr>
            </w:pPr>
            <w:r>
              <w:rPr>
                <w:rFonts w:ascii="Calibri" w:hAnsi="Calibri"/>
                <w:sz w:val="22"/>
                <w:szCs w:val="22"/>
              </w:rPr>
              <w:t>fehlende Verbindlichkeit.</w:t>
            </w:r>
          </w:p>
          <w:p>
            <w:pPr>
              <w:pStyle w:val="Normal"/>
              <w:suppressLineNumbers/>
              <w:jc w:val="both"/>
              <w:rPr>
                <w:sz w:val="22"/>
                <w:szCs w:val="22"/>
              </w:rPr>
            </w:pPr>
            <w:r>
              <w:rPr>
                <w:rFonts w:ascii="Calibri" w:hAnsi="Calibri"/>
                <w:sz w:val="22"/>
                <w:szCs w:val="22"/>
              </w:rPr>
              <w:t>Aber: Politik bleibt am Thema, Impulse werden gesetzt.</w:t>
            </w:r>
          </w:p>
          <w:p>
            <w:pPr>
              <w:pStyle w:val="Normal"/>
              <w:suppressLineNumbers/>
              <w:jc w:val="both"/>
              <w:rPr>
                <w:rFonts w:ascii="Calibri" w:hAnsi="Calibri"/>
              </w:rPr>
            </w:pPr>
            <w:r>
              <w:rPr>
                <w:rFonts w:ascii="Calibri" w:hAnsi="Calibri"/>
              </w:rPr>
            </w:r>
          </w:p>
        </w:tc>
      </w:tr>
      <w:tr>
        <w:trPr/>
        <w:tc>
          <w:tcPr>
            <w:tcW w:w="9971"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LineNumbers/>
              <w:jc w:val="both"/>
              <w:rPr>
                <w:sz w:val="22"/>
                <w:szCs w:val="22"/>
              </w:rPr>
            </w:pPr>
            <w:r>
              <w:rPr>
                <w:rFonts w:ascii="Calibri" w:hAnsi="Calibri"/>
                <w:sz w:val="22"/>
                <w:szCs w:val="22"/>
              </w:rPr>
              <w:t>Ja sollte, da Absprachen ermöglicht werden und das Thema so auf der politischen Agenda bleibt.</w:t>
            </w:r>
          </w:p>
        </w:tc>
      </w:tr>
      <w:tr>
        <w:trPr/>
        <w:tc>
          <w:tcPr>
            <w:tcW w:w="9971"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LineNumbers/>
              <w:jc w:val="both"/>
              <w:rPr>
                <w:sz w:val="22"/>
                <w:szCs w:val="22"/>
              </w:rPr>
            </w:pPr>
            <w:r>
              <w:rPr>
                <w:rFonts w:ascii="Calibri" w:hAnsi="Calibri"/>
                <w:sz w:val="22"/>
                <w:szCs w:val="22"/>
              </w:rPr>
              <w:t>oder Nein, nicht die UNO, wegen zu wenig Verbindlichkeit. Besser z.B. EU</w:t>
            </w:r>
          </w:p>
        </w:tc>
      </w:tr>
    </w:tbl>
    <w:p>
      <w:pPr>
        <w:pStyle w:val="Normal"/>
        <w:suppressLineNumbers/>
        <w:jc w:val="both"/>
        <w:rPr>
          <w:rFonts w:ascii="Calibri" w:hAnsi="Calibri"/>
          <w:sz w:val="24"/>
          <w:szCs w:val="24"/>
        </w:rPr>
      </w:pPr>
      <w:r>
        <w:rPr>
          <w:rFonts w:ascii="Calibri" w:hAnsi="Calibri"/>
          <w:sz w:val="24"/>
          <w:szCs w:val="24"/>
        </w:rPr>
      </w:r>
    </w:p>
    <w:p>
      <w:pPr>
        <w:pStyle w:val="Normal"/>
        <w:suppressLineNumbers/>
        <w:rPr>
          <w:sz w:val="24"/>
          <w:szCs w:val="24"/>
        </w:rPr>
      </w:pPr>
      <w:r>
        <w:rPr>
          <w:rFonts w:ascii="Calibri" w:hAnsi="Calibri"/>
          <w:b/>
          <w:bCs/>
          <w:sz w:val="24"/>
          <w:szCs w:val="24"/>
          <w:u w:val="single"/>
        </w:rPr>
        <w:t>Mögliche Aspekte für das Kolloquium im Schwerpunktfach:</w:t>
      </w:r>
    </w:p>
    <w:p>
      <w:pPr>
        <w:pStyle w:val="Normal"/>
        <w:suppressLineNumbers/>
        <w:rPr>
          <w:rFonts w:ascii="Calibri" w:hAnsi="Calibri"/>
          <w:sz w:val="24"/>
          <w:szCs w:val="24"/>
        </w:rPr>
      </w:pPr>
      <w:r>
        <w:rPr>
          <w:rFonts w:ascii="Calibri" w:hAnsi="Calibri"/>
          <w:b w:val="false"/>
          <w:bCs w:val="false"/>
          <w:sz w:val="24"/>
          <w:szCs w:val="24"/>
        </w:rPr>
        <w:t xml:space="preserve">Kenntnis weiterer internationaler Organisationen, </w:t>
      </w:r>
    </w:p>
    <w:p>
      <w:pPr>
        <w:sectPr>
          <w:headerReference w:type="default" r:id="rId2"/>
          <w:type w:val="nextPage"/>
          <w:pgSz w:w="12240" w:h="15840"/>
          <w:pgMar w:left="1134" w:right="1134" w:header="1134" w:top="1785" w:footer="0" w:bottom="1134" w:gutter="0"/>
          <w:lnNumType w:countBy="5" w:restart="continuous" w:distance="283"/>
          <w:pgNumType w:fmt="decimal"/>
          <w:formProt w:val="false"/>
          <w:textDirection w:val="lrTb"/>
          <w:docGrid w:type="default" w:linePitch="100" w:charSpace="0"/>
        </w:sectPr>
        <w:pStyle w:val="Normal"/>
        <w:suppressLineNumbers/>
        <w:rPr>
          <w:sz w:val="24"/>
          <w:szCs w:val="24"/>
        </w:rPr>
      </w:pPr>
      <w:r>
        <w:rPr>
          <w:rFonts w:ascii="Calibri" w:hAnsi="Calibri"/>
          <w:b w:val="false"/>
          <w:bCs w:val="false"/>
          <w:sz w:val="24"/>
          <w:szCs w:val="24"/>
        </w:rPr>
        <w:t>Beitrag internationaler Organisationen zur Friedenssicherung</w:t>
      </w:r>
    </w:p>
    <w:tbl>
      <w:tblPr>
        <w:tblStyle w:val="Tabellenraster"/>
        <w:tblW w:w="9346" w:type="dxa"/>
        <w:jc w:val="left"/>
        <w:tblInd w:w="0" w:type="dxa"/>
        <w:tblBorders/>
        <w:tblCellMar>
          <w:top w:w="0" w:type="dxa"/>
          <w:left w:w="108" w:type="dxa"/>
          <w:bottom w:w="0" w:type="dxa"/>
          <w:right w:w="108" w:type="dxa"/>
        </w:tblCellMar>
        <w:tblLook w:noVBand="1" w:val="04a0" w:noHBand="0" w:lastColumn="0" w:firstColumn="1" w:lastRow="0" w:firstRow="1"/>
      </w:tblPr>
      <w:tblGrid>
        <w:gridCol w:w="2793"/>
        <w:gridCol w:w="3276"/>
        <w:gridCol w:w="3277"/>
      </w:tblGrid>
      <w:tr>
        <w:trPr/>
        <w:tc>
          <w:tcPr>
            <w:tcW w:w="2793" w:type="dxa"/>
            <w:tcBorders/>
            <w:shd w:color="auto" w:fill="92D050" w:val="clear"/>
          </w:tcPr>
          <w:p>
            <w:pPr>
              <w:pStyle w:val="Normal"/>
              <w:spacing w:lineRule="auto" w:line="240" w:before="0" w:after="0"/>
              <w:rPr>
                <w:sz w:val="24"/>
                <w:szCs w:val="24"/>
              </w:rPr>
            </w:pPr>
            <w:r>
              <w:rPr>
                <w:rFonts w:ascii="Calibri" w:hAnsi="Calibri"/>
                <w:b/>
                <w:sz w:val="24"/>
                <w:szCs w:val="24"/>
              </w:rPr>
              <w:t>Bildungsplanbezug</w:t>
            </w:r>
          </w:p>
        </w:tc>
        <w:tc>
          <w:tcPr>
            <w:tcW w:w="3276" w:type="dxa"/>
            <w:tcBorders/>
            <w:shd w:color="auto" w:fill="92D050" w:val="clear"/>
          </w:tcPr>
          <w:p>
            <w:pPr>
              <w:pStyle w:val="Normal"/>
              <w:spacing w:lineRule="auto" w:line="240" w:before="0" w:after="0"/>
              <w:jc w:val="center"/>
              <w:rPr>
                <w:sz w:val="24"/>
                <w:szCs w:val="24"/>
              </w:rPr>
            </w:pPr>
            <w:r>
              <w:rPr>
                <w:rFonts w:ascii="Calibri" w:hAnsi="Calibri"/>
                <w:b/>
                <w:sz w:val="24"/>
                <w:szCs w:val="24"/>
              </w:rPr>
              <w:t>Bildungsplan 2004</w:t>
            </w:r>
          </w:p>
        </w:tc>
        <w:tc>
          <w:tcPr>
            <w:tcW w:w="3277" w:type="dxa"/>
            <w:tcBorders/>
            <w:shd w:color="auto" w:fill="92D050" w:val="clear"/>
          </w:tcPr>
          <w:p>
            <w:pPr>
              <w:pStyle w:val="Normal"/>
              <w:spacing w:lineRule="auto" w:line="240" w:before="0" w:after="0"/>
              <w:jc w:val="center"/>
              <w:rPr>
                <w:sz w:val="24"/>
                <w:szCs w:val="24"/>
              </w:rPr>
            </w:pPr>
            <w:r>
              <w:rPr>
                <w:rFonts w:ascii="Calibri" w:hAnsi="Calibri"/>
                <w:b/>
                <w:sz w:val="24"/>
                <w:szCs w:val="24"/>
              </w:rPr>
              <w:t>Bildungsplan 2016</w:t>
            </w:r>
          </w:p>
        </w:tc>
      </w:tr>
      <w:tr>
        <w:trPr/>
        <w:tc>
          <w:tcPr>
            <w:tcW w:w="2793" w:type="dxa"/>
            <w:tcBorders/>
            <w:shd w:fill="auto" w:val="clear"/>
          </w:tcPr>
          <w:p>
            <w:pPr>
              <w:pStyle w:val="Normal"/>
              <w:spacing w:lineRule="auto" w:line="240" w:before="0" w:after="0"/>
              <w:rPr>
                <w:rFonts w:ascii="Calibri" w:hAnsi="Calibri"/>
                <w:sz w:val="24"/>
                <w:szCs w:val="24"/>
              </w:rPr>
            </w:pPr>
            <w:r>
              <w:rPr>
                <w:rFonts w:ascii="Calibri" w:hAnsi="Calibri"/>
                <w:sz w:val="24"/>
                <w:szCs w:val="24"/>
              </w:rPr>
            </w:r>
          </w:p>
          <w:p>
            <w:pPr>
              <w:pStyle w:val="Normal"/>
              <w:spacing w:lineRule="auto" w:line="240" w:before="0" w:after="0"/>
              <w:rPr>
                <w:sz w:val="24"/>
                <w:szCs w:val="24"/>
              </w:rPr>
            </w:pPr>
            <w:r>
              <w:rPr>
                <w:rFonts w:ascii="Calibri" w:hAnsi="Calibri"/>
                <w:sz w:val="24"/>
                <w:szCs w:val="24"/>
              </w:rPr>
              <w:t>Inhaltsbezogene Standards</w:t>
            </w:r>
          </w:p>
        </w:tc>
        <w:tc>
          <w:tcPr>
            <w:tcW w:w="3276" w:type="dxa"/>
            <w:tcBorders/>
            <w:shd w:fill="auto" w:val="clear"/>
          </w:tcPr>
          <w:p>
            <w:pPr>
              <w:pStyle w:val="Normal"/>
              <w:spacing w:lineRule="auto" w:line="240" w:before="0" w:after="0"/>
              <w:rPr>
                <w:rFonts w:ascii="Calibri" w:hAnsi="Calibri"/>
                <w:b w:val="false"/>
                <w:b w:val="false"/>
                <w:bCs w:val="false"/>
              </w:rPr>
            </w:pPr>
            <w:r>
              <w:rPr>
                <w:rFonts w:ascii="Calibri" w:hAnsi="Calibri"/>
                <w:b w:val="false"/>
                <w:bCs w:val="false"/>
              </w:rPr>
            </w:r>
          </w:p>
          <w:p>
            <w:pPr>
              <w:pStyle w:val="Normal"/>
              <w:spacing w:lineRule="auto" w:line="240" w:before="0" w:after="0"/>
              <w:rPr>
                <w:sz w:val="24"/>
                <w:szCs w:val="24"/>
              </w:rPr>
            </w:pPr>
            <w:r>
              <w:rPr>
                <w:rFonts w:ascii="Calibri" w:hAnsi="Calibri"/>
                <w:b w:val="false"/>
                <w:bCs w:val="false"/>
                <w:sz w:val="24"/>
                <w:szCs w:val="24"/>
              </w:rPr>
              <w:t>2.2 Friedenssicherung und Konfliktbewältigung</w:t>
            </w:r>
          </w:p>
          <w:p>
            <w:pPr>
              <w:pStyle w:val="Normal"/>
              <w:spacing w:lineRule="auto" w:line="240" w:before="0" w:after="0"/>
              <w:rPr>
                <w:rFonts w:ascii="Calibri" w:hAnsi="Calibri"/>
                <w:b w:val="false"/>
                <w:b w:val="false"/>
                <w:bCs w:val="false"/>
              </w:rPr>
            </w:pPr>
            <w:r>
              <w:rPr>
                <w:rFonts w:ascii="Calibri" w:hAnsi="Calibri"/>
                <w:b w:val="false"/>
                <w:bCs w:val="false"/>
              </w:rPr>
            </w:r>
          </w:p>
          <w:p>
            <w:pPr>
              <w:pStyle w:val="Normal"/>
              <w:spacing w:lineRule="auto" w:line="240" w:before="0" w:after="0"/>
              <w:rPr>
                <w:sz w:val="24"/>
                <w:szCs w:val="24"/>
              </w:rPr>
            </w:pPr>
            <w:r>
              <w:rPr>
                <w:rFonts w:ascii="Calibri" w:hAnsi="Calibri"/>
                <w:b w:val="false"/>
                <w:bCs w:val="false"/>
                <w:sz w:val="24"/>
                <w:szCs w:val="24"/>
              </w:rPr>
              <w:t>Exemplarische Darstellung und Beurteilung sicherheitspolitischer Herausforderungen und Lösungsversuche</w:t>
            </w:r>
          </w:p>
          <w:p>
            <w:pPr>
              <w:pStyle w:val="Normal"/>
              <w:spacing w:lineRule="auto" w:line="240" w:before="0" w:after="0"/>
              <w:rPr>
                <w:rFonts w:ascii="Calibri" w:hAnsi="Calibri"/>
                <w:b w:val="false"/>
                <w:b w:val="false"/>
                <w:bCs w:val="false"/>
              </w:rPr>
            </w:pPr>
            <w:r>
              <w:rPr>
                <w:rFonts w:ascii="Calibri" w:hAnsi="Calibri"/>
                <w:b w:val="false"/>
                <w:bCs w:val="false"/>
              </w:rPr>
            </w:r>
          </w:p>
          <w:p>
            <w:pPr>
              <w:pStyle w:val="Normal"/>
              <w:spacing w:lineRule="auto" w:line="240" w:before="0" w:after="0"/>
              <w:rPr>
                <w:sz w:val="24"/>
                <w:szCs w:val="24"/>
              </w:rPr>
            </w:pPr>
            <w:r>
              <w:rPr>
                <w:rFonts w:ascii="Calibri" w:hAnsi="Calibri"/>
                <w:b w:val="false"/>
                <w:bCs w:val="false"/>
                <w:sz w:val="24"/>
                <w:szCs w:val="24"/>
              </w:rPr>
              <w:t>Bewertung der sicherheitspolitischen Leistung von internationalen Organisationen</w:t>
            </w:r>
          </w:p>
          <w:p>
            <w:pPr>
              <w:pStyle w:val="Normal"/>
              <w:spacing w:lineRule="auto" w:line="240" w:before="0" w:after="0"/>
              <w:rPr>
                <w:rFonts w:ascii="Calibri" w:hAnsi="Calibri"/>
                <w:sz w:val="24"/>
                <w:szCs w:val="24"/>
              </w:rPr>
            </w:pPr>
            <w:r>
              <w:rPr>
                <w:rFonts w:ascii="Calibri" w:hAnsi="Calibri"/>
                <w:sz w:val="24"/>
                <w:szCs w:val="24"/>
              </w:rPr>
            </w:r>
          </w:p>
        </w:tc>
        <w:tc>
          <w:tcPr>
            <w:tcW w:w="3277" w:type="dxa"/>
            <w:tcBorders/>
            <w:shd w:fill="auto" w:val="clear"/>
          </w:tcPr>
          <w:p>
            <w:pPr>
              <w:pStyle w:val="Normal"/>
              <w:spacing w:lineRule="auto" w:line="240" w:before="0" w:after="0"/>
              <w:rPr>
                <w:rFonts w:ascii="Calibri" w:hAnsi="Calibri"/>
                <w:b w:val="false"/>
                <w:b w:val="false"/>
                <w:bCs w:val="false"/>
                <w:sz w:val="24"/>
                <w:szCs w:val="24"/>
              </w:rPr>
            </w:pPr>
            <w:r>
              <w:rPr>
                <w:rFonts w:ascii="Calibri" w:hAnsi="Calibri"/>
                <w:b w:val="false"/>
                <w:bCs w:val="false"/>
                <w:sz w:val="24"/>
                <w:szCs w:val="24"/>
              </w:rPr>
            </w:r>
          </w:p>
          <w:p>
            <w:pPr>
              <w:pStyle w:val="Normal"/>
              <w:spacing w:lineRule="auto" w:line="240" w:before="0" w:after="0"/>
              <w:rPr>
                <w:rFonts w:ascii="Calibri" w:hAnsi="Calibri"/>
                <w:b w:val="false"/>
                <w:b w:val="false"/>
                <w:bCs w:val="false"/>
                <w:sz w:val="24"/>
                <w:szCs w:val="24"/>
              </w:rPr>
            </w:pPr>
            <w:r>
              <w:rPr>
                <w:rFonts w:ascii="Calibri" w:hAnsi="Calibri"/>
                <w:b w:val="false"/>
                <w:bCs w:val="false"/>
                <w:sz w:val="24"/>
                <w:szCs w:val="24"/>
              </w:rPr>
              <w:t xml:space="preserve">3.2.1.2 Frieden und Sicherheit </w:t>
            </w:r>
          </w:p>
          <w:p>
            <w:pPr>
              <w:pStyle w:val="Normal"/>
              <w:spacing w:lineRule="auto" w:line="240" w:before="0" w:after="0"/>
              <w:rPr>
                <w:rFonts w:ascii="Calibri" w:hAnsi="Calibri"/>
                <w:b w:val="false"/>
                <w:b w:val="false"/>
                <w:bCs w:val="false"/>
                <w:sz w:val="24"/>
                <w:szCs w:val="24"/>
              </w:rPr>
            </w:pPr>
            <w:r>
              <w:rPr>
                <w:rFonts w:ascii="Calibri" w:hAnsi="Calibri"/>
                <w:b w:val="false"/>
                <w:bCs w:val="false"/>
                <w:sz w:val="24"/>
                <w:szCs w:val="24"/>
              </w:rPr>
              <w:t>(1); (2); (9)</w:t>
            </w:r>
          </w:p>
        </w:tc>
      </w:tr>
      <w:tr>
        <w:trPr/>
        <w:tc>
          <w:tcPr>
            <w:tcW w:w="2793" w:type="dxa"/>
            <w:tcBorders/>
            <w:shd w:fill="auto" w:val="clear"/>
          </w:tcPr>
          <w:p>
            <w:pPr>
              <w:pStyle w:val="Normal"/>
              <w:spacing w:lineRule="auto" w:line="240" w:before="0" w:after="0"/>
              <w:rPr>
                <w:rFonts w:ascii="Calibri" w:hAnsi="Calibri"/>
                <w:sz w:val="24"/>
                <w:szCs w:val="24"/>
              </w:rPr>
            </w:pPr>
            <w:r>
              <w:rPr>
                <w:rFonts w:ascii="Calibri" w:hAnsi="Calibri"/>
                <w:sz w:val="24"/>
                <w:szCs w:val="24"/>
              </w:rPr>
            </w:r>
          </w:p>
          <w:p>
            <w:pPr>
              <w:pStyle w:val="Normal"/>
              <w:spacing w:lineRule="auto" w:line="240" w:before="0" w:after="0"/>
              <w:rPr>
                <w:sz w:val="24"/>
                <w:szCs w:val="24"/>
              </w:rPr>
            </w:pPr>
            <w:r>
              <w:rPr>
                <w:rFonts w:ascii="Calibri" w:hAnsi="Calibri"/>
                <w:sz w:val="24"/>
                <w:szCs w:val="24"/>
              </w:rPr>
              <w:t>Kompetenzerwerb/</w:t>
            </w:r>
          </w:p>
          <w:p>
            <w:pPr>
              <w:pStyle w:val="Normal"/>
              <w:spacing w:lineRule="auto" w:line="240" w:before="0" w:after="0"/>
              <w:rPr>
                <w:sz w:val="24"/>
                <w:szCs w:val="24"/>
              </w:rPr>
            </w:pPr>
            <w:r>
              <w:rPr>
                <w:rFonts w:ascii="Calibri" w:hAnsi="Calibri"/>
                <w:sz w:val="24"/>
                <w:szCs w:val="24"/>
              </w:rPr>
              <w:t>Prozessbezogene Standards</w:t>
            </w:r>
          </w:p>
        </w:tc>
        <w:tc>
          <w:tcPr>
            <w:tcW w:w="3276" w:type="dxa"/>
            <w:tcBorders/>
            <w:shd w:fill="auto" w:val="clear"/>
          </w:tcPr>
          <w:p>
            <w:pPr>
              <w:pStyle w:val="Normal"/>
              <w:spacing w:lineRule="auto" w:line="240" w:before="0" w:after="0"/>
              <w:rPr>
                <w:rFonts w:ascii="Calibri" w:hAnsi="Calibri"/>
                <w:sz w:val="24"/>
                <w:szCs w:val="24"/>
              </w:rPr>
            </w:pPr>
            <w:r>
              <w:rPr>
                <w:rFonts w:ascii="Calibri" w:hAnsi="Calibri"/>
                <w:sz w:val="24"/>
                <w:szCs w:val="24"/>
              </w:rPr>
            </w:r>
          </w:p>
          <w:p>
            <w:pPr>
              <w:pStyle w:val="Normal"/>
              <w:spacing w:lineRule="auto" w:line="240" w:before="0" w:after="0"/>
              <w:rPr>
                <w:sz w:val="24"/>
                <w:szCs w:val="24"/>
              </w:rPr>
            </w:pPr>
            <w:r>
              <w:rPr>
                <w:rFonts w:ascii="Calibri" w:hAnsi="Calibri"/>
                <w:sz w:val="24"/>
                <w:szCs w:val="24"/>
              </w:rPr>
              <w:t xml:space="preserve">Durchführung von Problemanalysen mithilfe politischer Kategorien </w:t>
            </w:r>
          </w:p>
          <w:p>
            <w:pPr>
              <w:pStyle w:val="Normal"/>
              <w:spacing w:lineRule="auto" w:line="240" w:before="0" w:after="0"/>
              <w:rPr>
                <w:rFonts w:ascii="Calibri" w:hAnsi="Calibri"/>
                <w:sz w:val="24"/>
                <w:szCs w:val="24"/>
              </w:rPr>
            </w:pPr>
            <w:r>
              <w:rPr>
                <w:rFonts w:ascii="Calibri" w:hAnsi="Calibri"/>
                <w:sz w:val="24"/>
                <w:szCs w:val="24"/>
              </w:rPr>
            </w:r>
          </w:p>
          <w:p>
            <w:pPr>
              <w:pStyle w:val="Normal"/>
              <w:spacing w:lineRule="auto" w:line="240" w:before="0" w:after="0"/>
              <w:rPr>
                <w:sz w:val="24"/>
                <w:szCs w:val="24"/>
              </w:rPr>
            </w:pPr>
            <w:r>
              <w:rPr>
                <w:rFonts w:ascii="Calibri" w:hAnsi="Calibri"/>
                <w:sz w:val="24"/>
                <w:szCs w:val="24"/>
              </w:rPr>
              <w:t>Urteilskompetenz: Bildung einer eigenen Meinung</w:t>
            </w:r>
          </w:p>
        </w:tc>
        <w:tc>
          <w:tcPr>
            <w:tcW w:w="3277" w:type="dxa"/>
            <w:tcBorders/>
            <w:shd w:fill="auto" w:val="clear"/>
          </w:tcPr>
          <w:p>
            <w:pPr>
              <w:pStyle w:val="Normal"/>
              <w:spacing w:lineRule="auto" w:line="240" w:before="0" w:after="0"/>
              <w:rPr>
                <w:rFonts w:ascii="Calibri" w:hAnsi="Calibri"/>
                <w:b/>
                <w:b/>
                <w:sz w:val="24"/>
                <w:szCs w:val="24"/>
              </w:rPr>
            </w:pPr>
            <w:r>
              <w:rPr>
                <w:rFonts w:ascii="Calibri" w:hAnsi="Calibri"/>
                <w:b/>
                <w:sz w:val="24"/>
                <w:szCs w:val="24"/>
              </w:rPr>
            </w:r>
          </w:p>
          <w:p>
            <w:pPr>
              <w:pStyle w:val="Normal"/>
              <w:spacing w:lineRule="auto" w:line="240" w:before="0" w:after="0"/>
              <w:rPr>
                <w:sz w:val="24"/>
                <w:szCs w:val="24"/>
              </w:rPr>
            </w:pPr>
            <w:bookmarkStart w:id="1" w:name="_GoBack1"/>
            <w:bookmarkEnd w:id="1"/>
            <w:r>
              <w:rPr>
                <w:rFonts w:ascii="Calibri" w:hAnsi="Calibri"/>
                <w:b w:val="false"/>
                <w:bCs w:val="false"/>
                <w:sz w:val="24"/>
                <w:szCs w:val="24"/>
              </w:rPr>
              <w:t>2.1 Analysekompetenz</w:t>
            </w:r>
          </w:p>
          <w:p>
            <w:pPr>
              <w:pStyle w:val="Normal"/>
              <w:spacing w:lineRule="auto" w:line="240" w:before="0" w:after="0"/>
              <w:rPr>
                <w:sz w:val="24"/>
                <w:szCs w:val="24"/>
              </w:rPr>
            </w:pPr>
            <w:r>
              <w:rPr>
                <w:rFonts w:ascii="Calibri" w:hAnsi="Calibri"/>
                <w:b w:val="false"/>
                <w:bCs w:val="false"/>
                <w:sz w:val="24"/>
                <w:szCs w:val="24"/>
              </w:rPr>
              <w:t>(1); (2)</w:t>
            </w:r>
          </w:p>
          <w:p>
            <w:pPr>
              <w:pStyle w:val="Normal"/>
              <w:spacing w:lineRule="auto" w:line="240" w:before="0" w:after="0"/>
              <w:rPr>
                <w:rFonts w:ascii="Calibri" w:hAnsi="Calibri"/>
                <w:b w:val="false"/>
                <w:b w:val="false"/>
                <w:bCs w:val="false"/>
                <w:sz w:val="24"/>
                <w:szCs w:val="24"/>
              </w:rPr>
            </w:pPr>
            <w:r>
              <w:rPr>
                <w:rFonts w:ascii="Calibri" w:hAnsi="Calibri"/>
                <w:b w:val="false"/>
                <w:bCs w:val="false"/>
                <w:sz w:val="24"/>
                <w:szCs w:val="24"/>
              </w:rPr>
            </w:r>
          </w:p>
          <w:p>
            <w:pPr>
              <w:pStyle w:val="Normal"/>
              <w:spacing w:lineRule="auto" w:line="240" w:before="0" w:after="0"/>
              <w:rPr>
                <w:sz w:val="24"/>
                <w:szCs w:val="24"/>
              </w:rPr>
            </w:pPr>
            <w:r>
              <w:rPr>
                <w:rFonts w:ascii="Calibri" w:hAnsi="Calibri"/>
                <w:b w:val="false"/>
                <w:bCs w:val="false"/>
                <w:sz w:val="24"/>
                <w:szCs w:val="24"/>
              </w:rPr>
              <w:t>2.2 Urteilskompetenz</w:t>
            </w:r>
          </w:p>
          <w:p>
            <w:pPr>
              <w:pStyle w:val="Normal"/>
              <w:spacing w:lineRule="auto" w:line="240" w:before="0" w:after="0"/>
              <w:rPr>
                <w:sz w:val="24"/>
                <w:szCs w:val="24"/>
              </w:rPr>
            </w:pPr>
            <w:r>
              <w:rPr>
                <w:rFonts w:ascii="Calibri" w:hAnsi="Calibri"/>
                <w:b w:val="false"/>
                <w:bCs w:val="false"/>
                <w:sz w:val="24"/>
                <w:szCs w:val="24"/>
              </w:rPr>
              <w:t>(1); (2)</w:t>
            </w:r>
          </w:p>
          <w:p>
            <w:pPr>
              <w:pStyle w:val="Normal"/>
              <w:spacing w:lineRule="auto" w:line="240" w:before="0" w:after="0"/>
              <w:rPr>
                <w:rFonts w:ascii="Calibri" w:hAnsi="Calibri"/>
                <w:b w:val="false"/>
                <w:b w:val="false"/>
                <w:bCs w:val="false"/>
                <w:sz w:val="24"/>
                <w:szCs w:val="24"/>
              </w:rPr>
            </w:pPr>
            <w:r>
              <w:rPr>
                <w:rFonts w:ascii="Calibri" w:hAnsi="Calibri"/>
                <w:b w:val="false"/>
                <w:bCs w:val="false"/>
                <w:sz w:val="24"/>
                <w:szCs w:val="24"/>
              </w:rPr>
            </w:r>
          </w:p>
          <w:p>
            <w:pPr>
              <w:pStyle w:val="Normal"/>
              <w:spacing w:lineRule="auto" w:line="240" w:before="0" w:after="0"/>
              <w:rPr>
                <w:sz w:val="24"/>
                <w:szCs w:val="24"/>
              </w:rPr>
            </w:pPr>
            <w:r>
              <w:rPr>
                <w:rFonts w:ascii="Calibri" w:hAnsi="Calibri"/>
                <w:b w:val="false"/>
                <w:bCs w:val="false"/>
                <w:sz w:val="24"/>
                <w:szCs w:val="24"/>
              </w:rPr>
              <w:t>2.4 Methodenkompetenz</w:t>
            </w:r>
          </w:p>
          <w:p>
            <w:pPr>
              <w:pStyle w:val="Normal"/>
              <w:spacing w:lineRule="auto" w:line="240" w:before="0" w:after="0"/>
              <w:rPr>
                <w:sz w:val="24"/>
                <w:szCs w:val="24"/>
              </w:rPr>
            </w:pPr>
            <w:r>
              <w:rPr>
                <w:rFonts w:ascii="Calibri" w:hAnsi="Calibri"/>
                <w:b w:val="false"/>
                <w:bCs w:val="false"/>
                <w:sz w:val="24"/>
                <w:szCs w:val="24"/>
              </w:rPr>
              <w:t>(3)</w:t>
            </w:r>
          </w:p>
        </w:tc>
      </w:tr>
    </w:tbl>
    <w:p>
      <w:pPr>
        <w:pStyle w:val="Normal"/>
        <w:rPr/>
      </w:pPr>
      <w:r>
        <w:rPr/>
      </w:r>
    </w:p>
    <w:sectPr>
      <w:headerReference w:type="default" r:id="rId3"/>
      <w:type w:val="nextPage"/>
      <w:pgSz w:w="11906" w:h="16838"/>
      <w:pgMar w:left="1134" w:right="1134" w:header="1134" w:top="1985" w:footer="0" w:bottom="1134" w:gutter="0"/>
      <w:lnNumType w:countBy="5" w:restart="continuous" w:distance="283"/>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alibri">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uppressLineNumbers/>
      <w:pBdr>
        <w:bottom w:val="single" w:sz="4" w:space="1" w:color="000000"/>
      </w:pBdr>
      <w:jc w:val="center"/>
      <w:rPr/>
    </w:pPr>
    <w:r>
      <w:rPr>
        <w:rFonts w:ascii="Calibri" w:hAnsi="Calibri"/>
        <w:b w:val="false"/>
        <w:bCs w:val="false"/>
        <w:sz w:val="22"/>
        <w:szCs w:val="22"/>
      </w:rPr>
      <w:t>ZPG Gemeinschaftskunde – Aufgabenvorschlag Kombinationsprüfung Geographie/Gemeinschaftskunde</w:t>
    </w:r>
  </w:p>
  <w:p>
    <w:pPr>
      <w:pStyle w:val="Normal"/>
      <w:suppressLineNumbers/>
      <w:pBdr>
        <w:bottom w:val="single" w:sz="4" w:space="1" w:color="000000"/>
      </w:pBdr>
      <w:jc w:val="center"/>
      <w:rPr>
        <w:u w:val="none"/>
      </w:rPr>
    </w:pPr>
    <w:r>
      <w:rPr>
        <w:rFonts w:ascii="Calibri" w:hAnsi="Calibri"/>
        <w:b w:val="false"/>
        <w:bCs w:val="false"/>
        <w:sz w:val="22"/>
        <w:szCs w:val="22"/>
        <w:u w:val="none"/>
      </w:rPr>
      <w:t>Schwerpunktfach</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uppressLineNumbers/>
      <w:pBdr>
        <w:bottom w:val="single" w:sz="4" w:space="1" w:color="000000"/>
      </w:pBdr>
      <w:jc w:val="center"/>
      <w:rPr/>
    </w:pPr>
    <w:r>
      <w:rPr>
        <w:rFonts w:ascii="Calibri" w:hAnsi="Calibri"/>
        <w:b w:val="false"/>
        <w:bCs w:val="false"/>
        <w:sz w:val="22"/>
        <w:szCs w:val="22"/>
        <w:u w:val="none"/>
      </w:rPr>
      <w:t>ZPG Gemeinschaftskunde – Aufgabenvorschlag Kombinationsprüfung Geographie/Gemeinschaftskunde</w:t>
    </w:r>
  </w:p>
  <w:p>
    <w:pPr>
      <w:pStyle w:val="Normal"/>
      <w:suppressLineNumbers/>
      <w:pBdr>
        <w:bottom w:val="single" w:sz="4" w:space="1" w:color="000000"/>
      </w:pBdr>
      <w:jc w:val="center"/>
      <w:rPr/>
    </w:pPr>
    <w:r>
      <w:rPr>
        <w:rFonts w:ascii="Calibri" w:hAnsi="Calibri"/>
        <w:b w:val="false"/>
        <w:bCs w:val="false"/>
        <w:sz w:val="22"/>
        <w:szCs w:val="22"/>
        <w:u w:val="none"/>
      </w:rPr>
      <w:t>Schwerpunktfach</w:t>
    </w:r>
  </w:p>
</w:hdr>
</file>

<file path=word/settings.xml><?xml version="1.0" encoding="utf-8"?>
<w:settings xmlns:w="http://schemas.openxmlformats.org/wordprocessingml/2006/main">
  <w:zoom w:percent="25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kern w:val="2"/>
        <w:sz w:val="20"/>
        <w:szCs w:val="24"/>
        <w:lang w:val="de-DE"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Noto Sans CJK SC Regular" w:cs="Lohit Devanagari"/>
      <w:color w:val="auto"/>
      <w:kern w:val="2"/>
      <w:sz w:val="24"/>
      <w:szCs w:val="24"/>
      <w:lang w:val="de-DE" w:eastAsia="zh-CN" w:bidi="hi-IN"/>
    </w:rPr>
  </w:style>
  <w:style w:type="character" w:styleId="Nummerierungszeichen">
    <w:name w:val="Nummerierungszeichen"/>
    <w:qFormat/>
    <w:rPr/>
  </w:style>
  <w:style w:type="character" w:styleId="Aufzhlungszeichen">
    <w:name w:val="Aufzählungszeichen"/>
    <w:qFormat/>
    <w:rPr>
      <w:rFonts w:ascii="OpenSymbol" w:hAnsi="OpenSymbol" w:eastAsia="OpenSymbol" w:cs="OpenSymbol"/>
    </w:rPr>
  </w:style>
  <w:style w:type="character" w:styleId="Zeilennummerierung">
    <w:name w:val="Zeilennummerierung"/>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paragraph" w:styleId="Berschrift">
    <w:name w:val="Überschrift"/>
    <w:basedOn w:val="Normal"/>
    <w:next w:val="Textkrper"/>
    <w:qFormat/>
    <w:pPr>
      <w:keepNext w:val="true"/>
      <w:spacing w:before="240" w:after="120"/>
    </w:pPr>
    <w:rPr>
      <w:rFonts w:ascii="Liberation Sans" w:hAnsi="Liberation Sans" w:eastAsia="Noto Sans CJK SC Regular" w:cs="Lohit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Kopfzeile">
    <w:name w:val="Header"/>
    <w:basedOn w:val="Normal"/>
    <w:pPr>
      <w:suppressLineNumbers/>
      <w:tabs>
        <w:tab w:val="center" w:pos="4986" w:leader="none"/>
        <w:tab w:val="right" w:pos="9972" w:leader="none"/>
      </w:tabs>
    </w:pPr>
    <w:rPr/>
  </w:style>
  <w:style w:type="paragraph" w:styleId="Tabelleninhalt">
    <w:name w:val="Tabelleninhalt"/>
    <w:basedOn w:val="Normal"/>
    <w:qFormat/>
    <w:pPr>
      <w:suppressLineNumbers/>
    </w:pPr>
    <w:rPr/>
  </w:style>
  <w:style w:type="paragraph" w:styleId="Tabellenberschrift">
    <w:name w:val="Tabellenüberschrift"/>
    <w:basedOn w:val="Tabelleninhalt"/>
    <w:qFormat/>
    <w:pPr>
      <w:suppressLineNumbers/>
      <w:jc w:val="center"/>
    </w:pPr>
    <w:rPr>
      <w:b/>
      <w:bCs/>
    </w:rPr>
  </w:style>
  <w:style w:type="paragraph" w:styleId="Fuzeile">
    <w:name w:val="Footer"/>
    <w:basedOn w:val="Normal"/>
    <w:pPr>
      <w:suppressLineNumbers/>
      <w:tabs>
        <w:tab w:val="center" w:pos="4986" w:leader="none"/>
        <w:tab w:val="right" w:pos="9972" w:leader="none"/>
      </w:tabs>
    </w:pPr>
    <w:rPr/>
  </w:style>
  <w:style w:type="paragraph" w:styleId="ListParagraph">
    <w:name w:val="List Paragraph"/>
    <w:basedOn w:val="Normal"/>
    <w:qFormat/>
    <w:pPr>
      <w:spacing w:before="0" w:after="160"/>
      <w:ind w:left="72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327</TotalTime>
  <Application>LibreOffice/6.0.7.3$Linux_X86_64 LibreOffice_project/00m0$Build-3</Application>
  <Pages>3</Pages>
  <Words>486</Words>
  <Characters>3780</Characters>
  <CharactersWithSpaces>4231</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2019-02-12T07:14:56Z</dcterms:created>
  <dc:creator/>
  <dc:description/>
  <dc:language>de-DE</dc:language>
  <cp:lastModifiedBy/>
  <dcterms:modified xsi:type="dcterms:W3CDTF">2019-07-22T18:17:40Z</dcterms:modified>
  <cp:revision>27</cp:revision>
  <dc:subject/>
  <dc:title/>
</cp:coreProperties>
</file>