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1F89" w14:textId="77777777" w:rsidR="00C758C0" w:rsidRDefault="00C758C0" w:rsidP="0084658B">
      <w:pPr>
        <w:pStyle w:val="berschrift1"/>
        <w:ind w:left="426" w:hanging="426"/>
      </w:pPr>
      <w:bookmarkStart w:id="0" w:name="_GoBack"/>
      <w:bookmarkEnd w:id="0"/>
      <w:r>
        <w:t xml:space="preserve">Unterrichtsgang </w:t>
      </w:r>
    </w:p>
    <w:p w14:paraId="7516AD5F" w14:textId="77777777" w:rsidR="005044E0" w:rsidRDefault="00C758C0" w:rsidP="005044E0">
      <w:pPr>
        <w:jc w:val="both"/>
        <w:rPr>
          <w:rStyle w:val="Hervorhebung"/>
          <w:b w:val="0"/>
        </w:rPr>
      </w:pPr>
      <w:r w:rsidRPr="00C758C0">
        <w:rPr>
          <w:rStyle w:val="Hervorhebung"/>
          <w:b w:val="0"/>
        </w:rPr>
        <w:t xml:space="preserve">Der im Folgenden beschriebene Unterrichtsgang zum Thema </w:t>
      </w:r>
      <w:r>
        <w:rPr>
          <w:rStyle w:val="Hervorhebung"/>
          <w:b w:val="0"/>
        </w:rPr>
        <w:t>Normalverteilung b</w:t>
      </w:r>
      <w:r w:rsidR="005044E0">
        <w:rPr>
          <w:rStyle w:val="Hervorhebung"/>
          <w:b w:val="0"/>
        </w:rPr>
        <w:t>erücksichtigt in besonderer Weise, dass im Basisplan „</w:t>
      </w:r>
      <w:r w:rsidR="005044E0" w:rsidRPr="005044E0">
        <w:rPr>
          <w:rStyle w:val="Hervorhebung"/>
          <w:b w:val="0"/>
        </w:rPr>
        <w:t xml:space="preserve">Inhalte </w:t>
      </w:r>
      <w:r w:rsidR="005044E0">
        <w:rPr>
          <w:rStyle w:val="Hervorhebung"/>
          <w:b w:val="0"/>
        </w:rPr>
        <w:t xml:space="preserve">[…] </w:t>
      </w:r>
      <w:r w:rsidR="005044E0" w:rsidRPr="005044E0">
        <w:rPr>
          <w:rStyle w:val="Hervorhebung"/>
          <w:b w:val="0"/>
        </w:rPr>
        <w:t xml:space="preserve">im Unterricht stärker vorstrukturiert </w:t>
      </w:r>
      <w:r w:rsidR="005044E0">
        <w:rPr>
          <w:rStyle w:val="Hervorhebung"/>
          <w:b w:val="0"/>
        </w:rPr>
        <w:t>[</w:t>
      </w:r>
      <w:r w:rsidR="005044E0" w:rsidRPr="005044E0">
        <w:rPr>
          <w:rStyle w:val="Hervorhebung"/>
          <w:b w:val="0"/>
        </w:rPr>
        <w:t>werden</w:t>
      </w:r>
      <w:r w:rsidR="005044E0">
        <w:rPr>
          <w:rStyle w:val="Hervorhebung"/>
          <w:b w:val="0"/>
        </w:rPr>
        <w:t>]</w:t>
      </w:r>
      <w:r w:rsidR="005044E0" w:rsidRPr="005044E0">
        <w:rPr>
          <w:rStyle w:val="Hervorhebung"/>
          <w:b w:val="0"/>
        </w:rPr>
        <w:t xml:space="preserve"> und Argumentationen </w:t>
      </w:r>
      <w:r w:rsidR="005044E0">
        <w:rPr>
          <w:rStyle w:val="Hervorhebung"/>
          <w:b w:val="0"/>
        </w:rPr>
        <w:t xml:space="preserve">[…] </w:t>
      </w:r>
      <w:r w:rsidR="005044E0" w:rsidRPr="005044E0">
        <w:rPr>
          <w:rStyle w:val="Hervorhebung"/>
          <w:b w:val="0"/>
        </w:rPr>
        <w:t>häufig anschaulich oder</w:t>
      </w:r>
      <w:r w:rsidR="005044E0">
        <w:rPr>
          <w:rStyle w:val="Hervorhebung"/>
          <w:b w:val="0"/>
        </w:rPr>
        <w:t xml:space="preserve"> </w:t>
      </w:r>
      <w:r w:rsidR="005044E0" w:rsidRPr="005044E0">
        <w:rPr>
          <w:rStyle w:val="Hervorhebung"/>
          <w:b w:val="0"/>
        </w:rPr>
        <w:t xml:space="preserve">durch heuristische Betrachtungen </w:t>
      </w:r>
      <w:r w:rsidR="005044E0">
        <w:rPr>
          <w:rStyle w:val="Hervorhebung"/>
          <w:b w:val="0"/>
        </w:rPr>
        <w:t>[</w:t>
      </w:r>
      <w:r w:rsidR="005044E0" w:rsidRPr="005044E0">
        <w:rPr>
          <w:rStyle w:val="Hervorhebung"/>
          <w:b w:val="0"/>
        </w:rPr>
        <w:t>erfolgen</w:t>
      </w:r>
      <w:r w:rsidR="005044E0">
        <w:rPr>
          <w:rStyle w:val="Hervorhebung"/>
          <w:b w:val="0"/>
        </w:rPr>
        <w:t>]</w:t>
      </w:r>
      <w:r w:rsidR="005044E0" w:rsidRPr="005044E0">
        <w:rPr>
          <w:rStyle w:val="Hervorhebung"/>
          <w:b w:val="0"/>
        </w:rPr>
        <w:t>.</w:t>
      </w:r>
      <w:r w:rsidR="005044E0">
        <w:rPr>
          <w:rStyle w:val="Hervorhebung"/>
          <w:b w:val="0"/>
        </w:rPr>
        <w:t>“</w:t>
      </w:r>
      <w:r w:rsidR="005044E0" w:rsidRPr="005044E0">
        <w:rPr>
          <w:rStyle w:val="Hervorhebung"/>
          <w:b w:val="0"/>
        </w:rPr>
        <w:t xml:space="preserve"> </w:t>
      </w:r>
      <w:r w:rsidR="005044E0">
        <w:rPr>
          <w:rStyle w:val="Hervorhebung"/>
          <w:b w:val="0"/>
        </w:rPr>
        <w:t>Zudem soll d</w:t>
      </w:r>
      <w:r w:rsidR="005044E0" w:rsidRPr="005044E0">
        <w:rPr>
          <w:rStyle w:val="Hervorhebung"/>
          <w:b w:val="0"/>
        </w:rPr>
        <w:t xml:space="preserve">er Unterricht im Basisfach </w:t>
      </w:r>
      <w:r w:rsidR="005044E0">
        <w:rPr>
          <w:rStyle w:val="Hervorhebung"/>
          <w:b w:val="0"/>
        </w:rPr>
        <w:t>„verstärkt</w:t>
      </w:r>
      <w:r w:rsidR="005044E0" w:rsidRPr="005044E0">
        <w:rPr>
          <w:rStyle w:val="Hervorhebung"/>
          <w:b w:val="0"/>
        </w:rPr>
        <w:t xml:space="preserve"> realitätsbezogen</w:t>
      </w:r>
      <w:r w:rsidR="005044E0">
        <w:rPr>
          <w:rStyle w:val="Hervorhebung"/>
          <w:b w:val="0"/>
        </w:rPr>
        <w:t>“ sein.</w:t>
      </w:r>
      <w:r w:rsidR="005044E0">
        <w:rPr>
          <w:rStyle w:val="Funotenzeichen"/>
          <w:iCs/>
        </w:rPr>
        <w:footnoteReference w:id="1"/>
      </w:r>
      <w:r w:rsidR="005044E0">
        <w:rPr>
          <w:rStyle w:val="Hervorhebung"/>
          <w:b w:val="0"/>
        </w:rPr>
        <w:t xml:space="preserve"> Im Kopftext zur Leitidee „Daten und Zufall“ wird ausdrücklich darauf verwiesen, dass die Schülerinnen und Schüler ihr Verständnis für die Binomialverteilung weiterentwickeln sollen. So beginnt der Unterrichtsgang mit einer Wiederholung der in Klasse 10 erworbenen Kenntnisse und Fertigkeiten auf de</w:t>
      </w:r>
      <w:r w:rsidR="007676F8">
        <w:rPr>
          <w:rStyle w:val="Hervorhebung"/>
          <w:b w:val="0"/>
        </w:rPr>
        <w:t>m Gebiet der Binomialverteilung</w:t>
      </w:r>
      <w:r w:rsidR="0055241E">
        <w:rPr>
          <w:rStyle w:val="Hervorhebung"/>
          <w:b w:val="0"/>
        </w:rPr>
        <w:t>.</w:t>
      </w:r>
      <w:r w:rsidR="0055241E" w:rsidRPr="0055241E">
        <w:rPr>
          <w:rStyle w:val="Hervorhebung"/>
          <w:b w:val="0"/>
        </w:rPr>
        <w:t xml:space="preserve"> </w:t>
      </w:r>
      <w:r w:rsidR="0055241E">
        <w:rPr>
          <w:rStyle w:val="Hervorhebung"/>
          <w:b w:val="0"/>
        </w:rPr>
        <w:t xml:space="preserve">Dies ist insbesondere auch deshalb wichtig, damit im Folgenden die Begriffe „diskret“ und „stetig“ gegeneinander abgegrenzt werden können. </w:t>
      </w:r>
      <w:r w:rsidR="0055241E" w:rsidRPr="00E21A11">
        <w:rPr>
          <w:rStyle w:val="Hervorhebung"/>
          <w:b w:val="0"/>
        </w:rPr>
        <w:t xml:space="preserve">Diese Wiederholung wird </w:t>
      </w:r>
      <w:r w:rsidR="0090258C" w:rsidRPr="00E21A11">
        <w:rPr>
          <w:rStyle w:val="Hervorhebung"/>
          <w:b w:val="0"/>
        </w:rPr>
        <w:t xml:space="preserve">noch </w:t>
      </w:r>
      <w:r w:rsidR="00826310" w:rsidRPr="00E21A11">
        <w:rPr>
          <w:rStyle w:val="Hervorhebung"/>
          <w:b w:val="0"/>
        </w:rPr>
        <w:t>erweitert um die Erkenntnis, dass im Histogramm die Trefferwahrscheinlichkeit nicht nur an der Höhe der Säulen</w:t>
      </w:r>
      <w:r w:rsidR="005E4B9C" w:rsidRPr="00E21A11">
        <w:rPr>
          <w:rStyle w:val="Hervorhebung"/>
          <w:b w:val="0"/>
        </w:rPr>
        <w:t xml:space="preserve"> abgelesen werden kann</w:t>
      </w:r>
      <w:r w:rsidR="00826310" w:rsidRPr="00E21A11">
        <w:rPr>
          <w:rStyle w:val="Hervorhebung"/>
          <w:b w:val="0"/>
        </w:rPr>
        <w:t xml:space="preserve">, sondern auch </w:t>
      </w:r>
      <w:r w:rsidR="005E4B9C" w:rsidRPr="00E21A11">
        <w:rPr>
          <w:rStyle w:val="Hervorhebung"/>
          <w:b w:val="0"/>
        </w:rPr>
        <w:t>als Fläche der Säule interpretiert werden kann</w:t>
      </w:r>
      <w:r w:rsidR="007676F8" w:rsidRPr="00E21A11">
        <w:rPr>
          <w:rStyle w:val="Hervorhebung"/>
          <w:b w:val="0"/>
        </w:rPr>
        <w:t xml:space="preserve">. </w:t>
      </w:r>
      <w:r w:rsidR="005044E0" w:rsidRPr="00E21A11">
        <w:rPr>
          <w:rStyle w:val="Hervorhebung"/>
          <w:b w:val="0"/>
        </w:rPr>
        <w:t xml:space="preserve">Dies </w:t>
      </w:r>
      <w:r w:rsidR="0055241E" w:rsidRPr="00E21A11">
        <w:rPr>
          <w:rStyle w:val="Hervorhebung"/>
          <w:b w:val="0"/>
        </w:rPr>
        <w:t xml:space="preserve">legt </w:t>
      </w:r>
      <w:r w:rsidR="005E4B9C" w:rsidRPr="00E21A11">
        <w:rPr>
          <w:rStyle w:val="Hervorhebung"/>
          <w:b w:val="0"/>
        </w:rPr>
        <w:t>die Grundlage für d</w:t>
      </w:r>
      <w:r w:rsidR="0055241E" w:rsidRPr="00E21A11">
        <w:rPr>
          <w:rStyle w:val="Hervorhebung"/>
          <w:b w:val="0"/>
        </w:rPr>
        <w:t>en Zusammenhang zwischen den W</w:t>
      </w:r>
      <w:r w:rsidR="005E4B9C" w:rsidRPr="00E21A11">
        <w:rPr>
          <w:rStyle w:val="Hervorhebung"/>
          <w:b w:val="0"/>
        </w:rPr>
        <w:t xml:space="preserve">ahrscheinlichkeiten normalverteilter Zufallsgrößen </w:t>
      </w:r>
      <w:r w:rsidR="004734C2" w:rsidRPr="00E21A11">
        <w:rPr>
          <w:rStyle w:val="Hervorhebung"/>
          <w:b w:val="0"/>
        </w:rPr>
        <w:t>und</w:t>
      </w:r>
      <w:r w:rsidR="0055241E" w:rsidRPr="00E21A11">
        <w:rPr>
          <w:rStyle w:val="Hervorhebung"/>
          <w:b w:val="0"/>
        </w:rPr>
        <w:t xml:space="preserve"> der </w:t>
      </w:r>
      <w:r w:rsidR="005E4B9C" w:rsidRPr="00E21A11">
        <w:rPr>
          <w:rStyle w:val="Hervorhebung"/>
          <w:b w:val="0"/>
        </w:rPr>
        <w:t>Fläche unter de</w:t>
      </w:r>
      <w:r w:rsidR="0055241E" w:rsidRPr="00E21A11">
        <w:rPr>
          <w:rStyle w:val="Hervorhebung"/>
          <w:b w:val="0"/>
        </w:rPr>
        <w:t xml:space="preserve">n zugehörigen </w:t>
      </w:r>
      <w:r w:rsidR="005E4B9C" w:rsidRPr="00E21A11">
        <w:rPr>
          <w:rStyle w:val="Hervorhebung"/>
          <w:b w:val="0"/>
        </w:rPr>
        <w:t>Glockenkurve</w:t>
      </w:r>
      <w:r w:rsidR="0055241E" w:rsidRPr="00E21A11">
        <w:rPr>
          <w:rStyle w:val="Hervorhebung"/>
          <w:b w:val="0"/>
        </w:rPr>
        <w:t>n.</w:t>
      </w:r>
    </w:p>
    <w:p w14:paraId="02061737" w14:textId="77777777" w:rsidR="007676F8" w:rsidRPr="005044E0" w:rsidRDefault="007676F8" w:rsidP="005044E0">
      <w:pPr>
        <w:jc w:val="both"/>
        <w:rPr>
          <w:rStyle w:val="Hervorhebung"/>
          <w:b w:val="0"/>
        </w:rPr>
      </w:pPr>
      <w:r>
        <w:rPr>
          <w:rStyle w:val="Hervorhebung"/>
          <w:b w:val="0"/>
        </w:rPr>
        <w:t xml:space="preserve">Ebenso kann dem Kopftext entnommen werden, dass es genügt, wenn die Schülerinnen und Schüler Wahrscheinlichkeiten bei normalverteilten Zufallsgröße ohne expliziten Bezug zur Analysis berechnen. Um den WTR aber nicht ausschließlich als „Blackbox“ zu nutzen, </w:t>
      </w:r>
      <w:r w:rsidR="00152010">
        <w:rPr>
          <w:rStyle w:val="Hervorhebung"/>
          <w:b w:val="0"/>
        </w:rPr>
        <w:t xml:space="preserve">soll im </w:t>
      </w:r>
      <w:r>
        <w:rPr>
          <w:rStyle w:val="Hervorhebung"/>
          <w:b w:val="0"/>
        </w:rPr>
        <w:t xml:space="preserve">Unterrichtsgang </w:t>
      </w:r>
      <w:r w:rsidR="00152010">
        <w:rPr>
          <w:rStyle w:val="Hervorhebung"/>
          <w:b w:val="0"/>
        </w:rPr>
        <w:t>erfahren werden</w:t>
      </w:r>
      <w:r>
        <w:rPr>
          <w:rStyle w:val="Hervorhebung"/>
          <w:b w:val="0"/>
        </w:rPr>
        <w:t xml:space="preserve">, dass es einen unmittelbaren Bezug zwischen der Fläche unter der Glockenkurve und den zu ermittelnden Wahrscheinlichkeiten gibt. </w:t>
      </w:r>
      <w:r w:rsidR="00152010">
        <w:rPr>
          <w:rStyle w:val="Hervorhebung"/>
          <w:b w:val="0"/>
        </w:rPr>
        <w:t xml:space="preserve">Die </w:t>
      </w:r>
      <w:r w:rsidR="00826310">
        <w:rPr>
          <w:rStyle w:val="Hervorhebung"/>
          <w:b w:val="0"/>
        </w:rPr>
        <w:t>Funktionsg</w:t>
      </w:r>
      <w:r w:rsidR="00152010">
        <w:rPr>
          <w:rStyle w:val="Hervorhebung"/>
          <w:b w:val="0"/>
        </w:rPr>
        <w:t>leichungen der Glockenkurven müssen im Basisfach nicht thematisiert werden, können aber f</w:t>
      </w:r>
      <w:r>
        <w:rPr>
          <w:rStyle w:val="Hervorhebung"/>
          <w:b w:val="0"/>
        </w:rPr>
        <w:t>ür leistungsstärkere Schülerinnen und Schüler als Vertiefung an</w:t>
      </w:r>
      <w:r w:rsidR="00152010">
        <w:rPr>
          <w:rStyle w:val="Hervorhebung"/>
          <w:b w:val="0"/>
        </w:rPr>
        <w:t>geboten werden</w:t>
      </w:r>
      <w:r>
        <w:rPr>
          <w:rStyle w:val="Hervorhebung"/>
          <w:b w:val="0"/>
        </w:rPr>
        <w:t>.</w:t>
      </w:r>
    </w:p>
    <w:p w14:paraId="3EB55CA4" w14:textId="77777777" w:rsidR="00152010" w:rsidRDefault="00152010" w:rsidP="0028378F">
      <w:pPr>
        <w:jc w:val="both"/>
        <w:rPr>
          <w:rStyle w:val="Hervorhebung"/>
          <w:b w:val="0"/>
        </w:rPr>
      </w:pPr>
      <w:r>
        <w:rPr>
          <w:rStyle w:val="Hervorhebung"/>
          <w:b w:val="0"/>
        </w:rPr>
        <w:t xml:space="preserve">Der verstärkte Realitätsbezug und der lediglich anschauliche Bezug zur Analysis bilden die Grundlage des </w:t>
      </w:r>
      <w:r w:rsidR="0028378F">
        <w:rPr>
          <w:rStyle w:val="Hervorhebung"/>
          <w:b w:val="0"/>
        </w:rPr>
        <w:t xml:space="preserve">im Folgenden </w:t>
      </w:r>
      <w:r>
        <w:rPr>
          <w:rStyle w:val="Hervorhebung"/>
          <w:b w:val="0"/>
        </w:rPr>
        <w:t>skizzierten Unterrichtsgangs, der nach der Wiederholung der Binomialverteilung folgenden Weg einschlägt:</w:t>
      </w:r>
    </w:p>
    <w:p w14:paraId="4EAFDA3E" w14:textId="77777777" w:rsidR="00152010" w:rsidRPr="003C0754" w:rsidRDefault="00152010" w:rsidP="003C0754">
      <w:pPr>
        <w:pStyle w:val="Listenabsatz"/>
        <w:numPr>
          <w:ilvl w:val="0"/>
          <w:numId w:val="10"/>
        </w:numPr>
        <w:ind w:left="284" w:hanging="284"/>
        <w:jc w:val="both"/>
        <w:rPr>
          <w:rStyle w:val="Hervorhebung"/>
          <w:b w:val="0"/>
        </w:rPr>
      </w:pPr>
      <w:r w:rsidRPr="003C0754">
        <w:rPr>
          <w:rStyle w:val="Hervorhebung"/>
          <w:b w:val="0"/>
        </w:rPr>
        <w:t>Die Schülerinnen und Schüler erkennen, dass es Zufallsgrößen gibt, die nicht nur diskrete Werte annehmen können, sondern auf einem Intervall definiert s</w:t>
      </w:r>
      <w:r w:rsidR="003C0754" w:rsidRPr="003C0754">
        <w:rPr>
          <w:rStyle w:val="Hervorhebung"/>
          <w:b w:val="0"/>
        </w:rPr>
        <w:t>ein können</w:t>
      </w:r>
      <w:r w:rsidRPr="003C0754">
        <w:rPr>
          <w:rStyle w:val="Hervorhebung"/>
          <w:b w:val="0"/>
        </w:rPr>
        <w:t>.</w:t>
      </w:r>
    </w:p>
    <w:p w14:paraId="4B54651F" w14:textId="77777777" w:rsidR="00152010" w:rsidRPr="003C0754" w:rsidRDefault="00152010" w:rsidP="003C0754">
      <w:pPr>
        <w:pStyle w:val="Listenabsatz"/>
        <w:numPr>
          <w:ilvl w:val="0"/>
          <w:numId w:val="10"/>
        </w:numPr>
        <w:ind w:left="284" w:hanging="284"/>
        <w:jc w:val="both"/>
        <w:rPr>
          <w:rStyle w:val="Hervorhebung"/>
          <w:b w:val="0"/>
        </w:rPr>
      </w:pPr>
      <w:r w:rsidRPr="003C0754">
        <w:rPr>
          <w:rStyle w:val="Hervorhebung"/>
          <w:b w:val="0"/>
        </w:rPr>
        <w:t xml:space="preserve">Sie erfahren, dass sich viele Datensätze durch Glockenkurven beschreiben lassen </w:t>
      </w:r>
      <w:r w:rsidR="003C0754" w:rsidRPr="003C0754">
        <w:rPr>
          <w:rStyle w:val="Hervorhebung"/>
          <w:b w:val="0"/>
        </w:rPr>
        <w:t>und dass d</w:t>
      </w:r>
      <w:r w:rsidRPr="003C0754">
        <w:rPr>
          <w:rStyle w:val="Hervorhebung"/>
          <w:b w:val="0"/>
        </w:rPr>
        <w:t>ie</w:t>
      </w:r>
      <w:r w:rsidR="003C0754" w:rsidRPr="003C0754">
        <w:rPr>
          <w:rStyle w:val="Hervorhebung"/>
          <w:b w:val="0"/>
        </w:rPr>
        <w:t xml:space="preserve"> zugehörige Zufallsgröße als normalverteilt bezeichnet wird.</w:t>
      </w:r>
    </w:p>
    <w:p w14:paraId="7FB845FA" w14:textId="77777777" w:rsidR="00152010" w:rsidRPr="003C0754" w:rsidRDefault="003C0754" w:rsidP="003C0754">
      <w:pPr>
        <w:pStyle w:val="Listenabsatz"/>
        <w:numPr>
          <w:ilvl w:val="0"/>
          <w:numId w:val="10"/>
        </w:numPr>
        <w:ind w:left="284" w:hanging="284"/>
        <w:jc w:val="both"/>
        <w:rPr>
          <w:rStyle w:val="Hervorhebung"/>
          <w:b w:val="0"/>
        </w:rPr>
      </w:pPr>
      <w:r w:rsidRPr="003C0754">
        <w:rPr>
          <w:rStyle w:val="Hervorhebung"/>
          <w:b w:val="0"/>
        </w:rPr>
        <w:t>Sie erkennen</w:t>
      </w:r>
      <w:r w:rsidR="00152010" w:rsidRPr="003C0754">
        <w:rPr>
          <w:rStyle w:val="Hervorhebung"/>
          <w:b w:val="0"/>
        </w:rPr>
        <w:t>, dass sich die Wahrscheinlichkeiten normalverteilter Zufallsgrößen annähernd durch die Fläche unter der Glockenkurve ermitteln lassen.</w:t>
      </w:r>
    </w:p>
    <w:p w14:paraId="5B61815A" w14:textId="77777777" w:rsidR="00152010" w:rsidRPr="003C0754" w:rsidRDefault="003C0754" w:rsidP="003C0754">
      <w:pPr>
        <w:pStyle w:val="Listenabsatz"/>
        <w:numPr>
          <w:ilvl w:val="0"/>
          <w:numId w:val="10"/>
        </w:numPr>
        <w:ind w:left="284" w:hanging="284"/>
        <w:jc w:val="both"/>
        <w:rPr>
          <w:rStyle w:val="Hervorhebung"/>
          <w:b w:val="0"/>
        </w:rPr>
      </w:pPr>
      <w:r w:rsidRPr="003C0754">
        <w:rPr>
          <w:rStyle w:val="Hervorhebung"/>
          <w:b w:val="0"/>
        </w:rPr>
        <w:t xml:space="preserve">Sie entdecken den Zusammenhang zwischen der Form der Glockenkurve und den Kenngrößen </w:t>
      </w:r>
      <w:r w:rsidR="00152010" w:rsidRPr="003C0754">
        <w:rPr>
          <w:rStyle w:val="Hervorhebung"/>
          <w:b w:val="0"/>
        </w:rPr>
        <w:t>Erwartungswert und Standardabweichung</w:t>
      </w:r>
      <w:r w:rsidRPr="003C0754">
        <w:rPr>
          <w:rStyle w:val="Hervorhebung"/>
          <w:b w:val="0"/>
        </w:rPr>
        <w:t xml:space="preserve"> und sind somit in der Lage, anhand der Kenngrößen die zugehörige Glockenkurve zu skizzieren. </w:t>
      </w:r>
    </w:p>
    <w:p w14:paraId="46AC4B83" w14:textId="77777777" w:rsidR="003C0754" w:rsidRPr="003C0754" w:rsidRDefault="003C0754" w:rsidP="003C0754">
      <w:pPr>
        <w:pStyle w:val="Listenabsatz"/>
        <w:numPr>
          <w:ilvl w:val="0"/>
          <w:numId w:val="10"/>
        </w:numPr>
        <w:ind w:left="284" w:hanging="284"/>
        <w:jc w:val="both"/>
        <w:rPr>
          <w:rStyle w:val="Hervorhebung"/>
          <w:b w:val="0"/>
        </w:rPr>
      </w:pPr>
      <w:r w:rsidRPr="003C0754">
        <w:rPr>
          <w:rStyle w:val="Hervorhebung"/>
          <w:b w:val="0"/>
        </w:rPr>
        <w:t xml:space="preserve">Sie </w:t>
      </w:r>
      <w:r w:rsidR="00152010" w:rsidRPr="003C0754">
        <w:rPr>
          <w:rStyle w:val="Hervorhebung"/>
          <w:b w:val="0"/>
        </w:rPr>
        <w:t>lernen</w:t>
      </w:r>
      <w:r w:rsidRPr="003C0754">
        <w:rPr>
          <w:rStyle w:val="Hervorhebung"/>
          <w:b w:val="0"/>
        </w:rPr>
        <w:t xml:space="preserve"> bzw. wiederholen</w:t>
      </w:r>
      <w:r w:rsidR="00152010" w:rsidRPr="003C0754">
        <w:rPr>
          <w:rStyle w:val="Hervorhebung"/>
          <w:b w:val="0"/>
        </w:rPr>
        <w:t>, wie Erwartungswert</w:t>
      </w:r>
      <w:r w:rsidRPr="003C0754">
        <w:rPr>
          <w:rStyle w:val="Hervorhebung"/>
          <w:b w:val="0"/>
        </w:rPr>
        <w:t xml:space="preserve"> </w:t>
      </w:r>
      <w:r w:rsidR="00152010" w:rsidRPr="003C0754">
        <w:rPr>
          <w:rStyle w:val="Hervorhebung"/>
          <w:b w:val="0"/>
        </w:rPr>
        <w:t>und Standardabweichu</w:t>
      </w:r>
      <w:r w:rsidRPr="003C0754">
        <w:rPr>
          <w:rStyle w:val="Hervorhebung"/>
          <w:b w:val="0"/>
        </w:rPr>
        <w:t>ng aus einem Datensatz ermittelt werden</w:t>
      </w:r>
      <w:r>
        <w:rPr>
          <w:rStyle w:val="Hervorhebung"/>
          <w:b w:val="0"/>
        </w:rPr>
        <w:t xml:space="preserve"> (mit und ohne WTR)</w:t>
      </w:r>
      <w:r w:rsidR="00152010" w:rsidRPr="003C0754">
        <w:rPr>
          <w:rStyle w:val="Hervorhebung"/>
          <w:b w:val="0"/>
        </w:rPr>
        <w:t>.</w:t>
      </w:r>
    </w:p>
    <w:p w14:paraId="5AD9B70E" w14:textId="77777777" w:rsidR="00152010" w:rsidRDefault="003C0754" w:rsidP="003C0754">
      <w:pPr>
        <w:rPr>
          <w:rStyle w:val="Hervorhebung"/>
          <w:b w:val="0"/>
        </w:rPr>
      </w:pPr>
      <w:r w:rsidRPr="008018D0">
        <w:rPr>
          <w:rStyle w:val="Hervorhebung"/>
          <w:b w:val="0"/>
          <w:spacing w:val="-2"/>
        </w:rPr>
        <w:t>Der Einsatz des WTR zur Bestimmung von Wahrscheinlichkeiten kann wahlweise ab Schritt 3</w:t>
      </w:r>
      <w:r>
        <w:rPr>
          <w:rStyle w:val="Hervorhebung"/>
          <w:b w:val="0"/>
        </w:rPr>
        <w:t xml:space="preserve"> oder erst nach Schritt 5 erfolgen.</w:t>
      </w:r>
    </w:p>
    <w:p w14:paraId="6D508573" w14:textId="77777777" w:rsidR="00C758C0" w:rsidRDefault="00C758C0" w:rsidP="00C758C0">
      <w:pPr>
        <w:tabs>
          <w:tab w:val="left" w:pos="0"/>
        </w:tabs>
        <w:spacing w:after="0"/>
        <w:jc w:val="both"/>
      </w:pPr>
    </w:p>
    <w:p w14:paraId="451C8629" w14:textId="77777777" w:rsidR="00C758C0" w:rsidRDefault="00C758C0" w:rsidP="0081782D">
      <w:pPr>
        <w:pStyle w:val="Listenabsatz"/>
        <w:ind w:left="0"/>
        <w:jc w:val="both"/>
        <w:rPr>
          <w:rStyle w:val="Hervorhebung"/>
          <w:b w:val="0"/>
        </w:rPr>
        <w:sectPr w:rsidR="00C758C0" w:rsidSect="00E50CF3">
          <w:headerReference w:type="default" r:id="rId8"/>
          <w:footerReference w:type="default" r:id="rId9"/>
          <w:pgSz w:w="11906" w:h="16838"/>
          <w:pgMar w:top="992" w:right="1418" w:bottom="851" w:left="1418" w:header="708" w:footer="708" w:gutter="0"/>
          <w:cols w:space="708"/>
          <w:docGrid w:linePitch="360"/>
        </w:sectPr>
      </w:pPr>
    </w:p>
    <w:p w14:paraId="7C11EF4B" w14:textId="77777777" w:rsidR="00A61426" w:rsidRPr="00A61426" w:rsidRDefault="00A61426" w:rsidP="00A61426">
      <w:pPr>
        <w:rPr>
          <w:rFonts w:ascii="Arial" w:eastAsia="Times New Roman" w:hAnsi="Arial" w:cs="Arial"/>
          <w:b/>
          <w:iCs/>
          <w:sz w:val="24"/>
        </w:rPr>
      </w:pPr>
      <w:r w:rsidRPr="00A61426">
        <w:rPr>
          <w:rFonts w:ascii="Arial" w:eastAsia="Times New Roman" w:hAnsi="Arial" w:cs="Arial"/>
          <w:b/>
          <w:iCs/>
          <w:sz w:val="24"/>
        </w:rPr>
        <w:lastRenderedPageBreak/>
        <w:t>Übersicht Unterrichtsgang im Basisfach</w:t>
      </w:r>
    </w:p>
    <w:tbl>
      <w:tblPr>
        <w:tblW w:w="14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056"/>
        <w:gridCol w:w="6713"/>
        <w:gridCol w:w="4266"/>
      </w:tblGrid>
      <w:tr w:rsidR="00A61426" w:rsidRPr="00A61426" w14:paraId="663315BA" w14:textId="77777777" w:rsidTr="009F260D">
        <w:trPr>
          <w:cantSplit/>
          <w:trHeight w:val="42"/>
        </w:trPr>
        <w:tc>
          <w:tcPr>
            <w:tcW w:w="964" w:type="dxa"/>
            <w:vAlign w:val="center"/>
          </w:tcPr>
          <w:p w14:paraId="57160296" w14:textId="77777777" w:rsidR="00A61426" w:rsidRPr="00A61426" w:rsidRDefault="00A61426" w:rsidP="00A61426">
            <w:pPr>
              <w:spacing w:after="120" w:line="260" w:lineRule="exact"/>
              <w:contextualSpacing/>
              <w:rPr>
                <w:rFonts w:ascii="Arial" w:eastAsia="Times New Roman" w:hAnsi="Arial" w:cs="Arial"/>
                <w:b/>
                <w:spacing w:val="-10"/>
                <w:vertAlign w:val="superscript"/>
              </w:rPr>
            </w:pPr>
            <w:r w:rsidRPr="00A61426">
              <w:rPr>
                <w:rFonts w:ascii="Arial" w:eastAsia="Times New Roman" w:hAnsi="Arial" w:cs="Arial"/>
                <w:spacing w:val="-10"/>
              </w:rPr>
              <w:t>Stunde</w:t>
            </w:r>
            <w:r w:rsidRPr="00A61426">
              <w:rPr>
                <w:rFonts w:ascii="Arial" w:eastAsia="Times New Roman" w:hAnsi="Arial" w:cs="Arial"/>
                <w:spacing w:val="-10"/>
                <w:vertAlign w:val="superscript"/>
              </w:rPr>
              <w:t>(</w:t>
            </w:r>
            <w:r w:rsidRPr="00A61426">
              <w:rPr>
                <w:rFonts w:ascii="Arial" w:eastAsia="Times New Roman" w:hAnsi="Arial" w:cs="Arial"/>
                <w:spacing w:val="-10"/>
              </w:rPr>
              <w:t>*</w:t>
            </w:r>
            <w:r w:rsidRPr="00A61426">
              <w:rPr>
                <w:rFonts w:ascii="Arial" w:eastAsia="Times New Roman" w:hAnsi="Arial" w:cs="Arial"/>
                <w:spacing w:val="-10"/>
                <w:vertAlign w:val="superscript"/>
              </w:rPr>
              <w:t>)</w:t>
            </w:r>
          </w:p>
        </w:tc>
        <w:tc>
          <w:tcPr>
            <w:tcW w:w="2042" w:type="dxa"/>
            <w:vAlign w:val="center"/>
          </w:tcPr>
          <w:p w14:paraId="026E1587"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Thema</w:t>
            </w:r>
          </w:p>
        </w:tc>
        <w:tc>
          <w:tcPr>
            <w:tcW w:w="6667" w:type="dxa"/>
            <w:vAlign w:val="center"/>
          </w:tcPr>
          <w:p w14:paraId="543C9822"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didaktische Hinweise</w:t>
            </w:r>
          </w:p>
        </w:tc>
        <w:tc>
          <w:tcPr>
            <w:tcW w:w="4237" w:type="dxa"/>
          </w:tcPr>
          <w:p w14:paraId="33A5441F"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Material</w:t>
            </w:r>
          </w:p>
        </w:tc>
      </w:tr>
      <w:tr w:rsidR="00A61426" w:rsidRPr="00A61426" w14:paraId="0F4816BF" w14:textId="77777777" w:rsidTr="009F260D">
        <w:trPr>
          <w:cantSplit/>
          <w:trHeight w:val="521"/>
        </w:trPr>
        <w:tc>
          <w:tcPr>
            <w:tcW w:w="964" w:type="dxa"/>
            <w:vAlign w:val="center"/>
          </w:tcPr>
          <w:p w14:paraId="50D570D0"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t>1 – 3</w:t>
            </w:r>
          </w:p>
        </w:tc>
        <w:tc>
          <w:tcPr>
            <w:tcW w:w="2042" w:type="dxa"/>
            <w:vAlign w:val="center"/>
          </w:tcPr>
          <w:p w14:paraId="2755B926"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Binomialverteilung</w:t>
            </w:r>
          </w:p>
        </w:tc>
        <w:tc>
          <w:tcPr>
            <w:tcW w:w="6667" w:type="dxa"/>
            <w:vAlign w:val="center"/>
          </w:tcPr>
          <w:p w14:paraId="1EACBBA0"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Festigung der Begriffe Bernoulli-Experiment, Bernoulli-Kette</w:t>
            </w:r>
          </w:p>
          <w:p w14:paraId="63A6B447"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Wiederholung und Anwendung der Formel von Bernoulli</w:t>
            </w:r>
          </w:p>
          <w:p w14:paraId="0D5EE8C1"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Interpretation der Trefferwahrscheinlichkeit als Fläche der Säulen des Histogramms</w:t>
            </w:r>
          </w:p>
          <w:p w14:paraId="0D13E93E"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 xml:space="preserve">Einführung des Begriffs „diskret verteilte Zufallsgröße“ </w:t>
            </w:r>
          </w:p>
        </w:tc>
        <w:tc>
          <w:tcPr>
            <w:tcW w:w="4237" w:type="dxa"/>
          </w:tcPr>
          <w:p w14:paraId="4FE79AAE"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Planarbeit</w:t>
            </w:r>
          </w:p>
          <w:p w14:paraId="0325F708" w14:textId="77777777" w:rsidR="00A61426" w:rsidRPr="00A61426" w:rsidRDefault="00A61426" w:rsidP="00A61426">
            <w:pPr>
              <w:spacing w:after="120" w:line="260" w:lineRule="exact"/>
              <w:rPr>
                <w:rFonts w:ascii="Calibri" w:eastAsia="Times New Roman" w:hAnsi="Calibri" w:cs="Times New Roman"/>
                <w:i/>
                <w:color w:val="0000FF"/>
                <w:sz w:val="20"/>
                <w:u w:val="single"/>
              </w:rPr>
            </w:pPr>
            <w:r w:rsidRPr="00A61426">
              <w:rPr>
                <w:rFonts w:ascii="Calibri" w:eastAsia="Times New Roman" w:hAnsi="Calibri" w:cs="Times New Roman"/>
                <w:i/>
                <w:color w:val="0000FF"/>
                <w:sz w:val="20"/>
                <w:u w:val="single"/>
              </w:rPr>
              <w:t>sto1_07_m01_planarbeit_wiederholung_binomialverteilung.docx</w:t>
            </w:r>
          </w:p>
          <w:p w14:paraId="62829E02"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Infoblatt zur Binomialverteilung</w:t>
            </w:r>
          </w:p>
          <w:p w14:paraId="47F4A418" w14:textId="77777777" w:rsidR="00A61426" w:rsidRPr="00A61426" w:rsidRDefault="00A61426" w:rsidP="00A61426">
            <w:pPr>
              <w:spacing w:after="120" w:line="260" w:lineRule="exact"/>
              <w:rPr>
                <w:rFonts w:ascii="Arial" w:eastAsia="Times New Roman" w:hAnsi="Arial" w:cs="Arial"/>
              </w:rPr>
            </w:pPr>
            <w:r w:rsidRPr="00A61426">
              <w:rPr>
                <w:rFonts w:ascii="Calibri" w:eastAsia="Times New Roman" w:hAnsi="Calibri" w:cs="Times New Roman"/>
                <w:i/>
                <w:color w:val="0000FF"/>
                <w:spacing w:val="-4"/>
                <w:sz w:val="20"/>
                <w:u w:val="single"/>
              </w:rPr>
              <w:t>sto1_07_m02_infoblatt_binomialverteilung.docx</w:t>
            </w:r>
          </w:p>
        </w:tc>
      </w:tr>
      <w:tr w:rsidR="00A61426" w:rsidRPr="00A61426" w14:paraId="30A2D1F7" w14:textId="77777777" w:rsidTr="009F260D">
        <w:trPr>
          <w:cantSplit/>
          <w:trHeight w:val="1640"/>
        </w:trPr>
        <w:tc>
          <w:tcPr>
            <w:tcW w:w="964" w:type="dxa"/>
            <w:vAlign w:val="center"/>
          </w:tcPr>
          <w:p w14:paraId="5B9D51AF"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t>4 – 5</w:t>
            </w:r>
          </w:p>
        </w:tc>
        <w:tc>
          <w:tcPr>
            <w:tcW w:w="2042" w:type="dxa"/>
            <w:vAlign w:val="center"/>
          </w:tcPr>
          <w:p w14:paraId="3D539E89"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Die Normalverteilung</w:t>
            </w:r>
          </w:p>
        </w:tc>
        <w:tc>
          <w:tcPr>
            <w:tcW w:w="6667" w:type="dxa"/>
            <w:vAlign w:val="center"/>
          </w:tcPr>
          <w:p w14:paraId="4BF5C031"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Vom Histogramm zur Glockenkurve</w:t>
            </w:r>
          </w:p>
          <w:p w14:paraId="2DDAEA26"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 xml:space="preserve">Einführung des Begriffs „stetig verteilte Zufallsgröße“ </w:t>
            </w:r>
          </w:p>
          <w:p w14:paraId="42557F2F"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Wahrscheinlichkeiten anschaulich als Fläche unter der Glockenkurve interpretieren und zur Berechnung von Wahrscheinlichkeiten bei normalverteilten Zufallsgrößen nutzen</w:t>
            </w:r>
          </w:p>
        </w:tc>
        <w:tc>
          <w:tcPr>
            <w:tcW w:w="4237" w:type="dxa"/>
          </w:tcPr>
          <w:p w14:paraId="64FCFD92"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Arbeitsauftrag</w:t>
            </w:r>
            <w:r w:rsidRPr="00A61426">
              <w:rPr>
                <w:rFonts w:ascii="Arial" w:eastAsia="Times New Roman" w:hAnsi="Arial" w:cs="Arial"/>
              </w:rPr>
              <w:br/>
              <w:t>„</w:t>
            </w:r>
            <w:proofErr w:type="spellStart"/>
            <w:r w:rsidRPr="00A61426">
              <w:rPr>
                <w:rFonts w:ascii="Arial" w:eastAsia="Times New Roman" w:hAnsi="Arial" w:cs="Arial"/>
              </w:rPr>
              <w:t>It’s</w:t>
            </w:r>
            <w:proofErr w:type="spellEnd"/>
            <w:r w:rsidRPr="00A61426">
              <w:rPr>
                <w:rFonts w:ascii="Arial" w:eastAsia="Times New Roman" w:hAnsi="Arial" w:cs="Arial"/>
              </w:rPr>
              <w:t xml:space="preserve"> Tea-Time“</w:t>
            </w:r>
          </w:p>
          <w:p w14:paraId="5898BF87" w14:textId="77777777" w:rsidR="00A61426" w:rsidRPr="00A61426" w:rsidRDefault="00A61426" w:rsidP="00A61426">
            <w:pPr>
              <w:spacing w:after="120" w:line="260" w:lineRule="exact"/>
              <w:rPr>
                <w:rFonts w:ascii="Arial" w:eastAsia="Times New Roman" w:hAnsi="Arial" w:cs="Arial"/>
              </w:rPr>
            </w:pPr>
            <w:r w:rsidRPr="00A61426">
              <w:rPr>
                <w:rFonts w:ascii="Calibri" w:eastAsia="Times New Roman" w:hAnsi="Calibri" w:cs="Times New Roman"/>
                <w:i/>
                <w:color w:val="0000FF"/>
                <w:sz w:val="20"/>
                <w:u w:val="single"/>
              </w:rPr>
              <w:t>sto1_07_m03_einstieg_normalverteilung.docx</w:t>
            </w:r>
          </w:p>
          <w:p w14:paraId="76F870B0"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Übungsaufgabe</w:t>
            </w:r>
            <w:r w:rsidRPr="00A61426">
              <w:rPr>
                <w:rFonts w:ascii="Arial" w:eastAsia="Times New Roman" w:hAnsi="Arial" w:cs="Arial"/>
              </w:rPr>
              <w:br/>
              <w:t>„Binomial- oder normalverteilte Zufallsgröße?“</w:t>
            </w:r>
          </w:p>
          <w:p w14:paraId="3407F731" w14:textId="77777777" w:rsidR="00A61426" w:rsidRPr="00A61426" w:rsidRDefault="00A61426" w:rsidP="00A61426">
            <w:pPr>
              <w:spacing w:after="120" w:line="260" w:lineRule="exact"/>
              <w:rPr>
                <w:rFonts w:ascii="Arial" w:eastAsia="Times New Roman" w:hAnsi="Arial" w:cs="Arial"/>
              </w:rPr>
            </w:pPr>
            <w:r w:rsidRPr="00A61426">
              <w:rPr>
                <w:rFonts w:ascii="Calibri" w:eastAsia="Times New Roman" w:hAnsi="Calibri" w:cs="Times New Roman"/>
                <w:i/>
                <w:color w:val="0000FF"/>
                <w:sz w:val="20"/>
                <w:u w:val="single"/>
              </w:rPr>
              <w:t>sto1_07_m04_uebung_normalverteilung.docx</w:t>
            </w:r>
          </w:p>
        </w:tc>
      </w:tr>
      <w:tr w:rsidR="00A61426" w:rsidRPr="00A61426" w14:paraId="72AD1455" w14:textId="77777777" w:rsidTr="009F260D">
        <w:trPr>
          <w:cantSplit/>
          <w:trHeight w:val="1372"/>
        </w:trPr>
        <w:tc>
          <w:tcPr>
            <w:tcW w:w="964" w:type="dxa"/>
            <w:vAlign w:val="center"/>
          </w:tcPr>
          <w:p w14:paraId="715DCF4A"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t>6</w:t>
            </w:r>
          </w:p>
        </w:tc>
        <w:tc>
          <w:tcPr>
            <w:tcW w:w="2042" w:type="dxa"/>
            <w:vMerge w:val="restart"/>
            <w:vAlign w:val="center"/>
          </w:tcPr>
          <w:p w14:paraId="36E62C90"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Erwartungswert und Standard-abweichung</w:t>
            </w:r>
          </w:p>
        </w:tc>
        <w:tc>
          <w:tcPr>
            <w:tcW w:w="6667" w:type="dxa"/>
            <w:vAlign w:val="center"/>
          </w:tcPr>
          <w:p w14:paraId="374872B2" w14:textId="77777777" w:rsidR="00A61426" w:rsidRPr="00A61426" w:rsidRDefault="00A61426" w:rsidP="00A61426">
            <w:pPr>
              <w:widowControl w:val="0"/>
              <w:spacing w:after="120" w:line="240" w:lineRule="auto"/>
              <w:rPr>
                <w:rFonts w:ascii="Arial" w:eastAsia="Times New Roman" w:hAnsi="Arial" w:cs="Arial"/>
              </w:rPr>
            </w:pPr>
            <w:r w:rsidRPr="00A61426">
              <w:rPr>
                <w:rFonts w:ascii="Arial" w:eastAsia="Times New Roman" w:hAnsi="Arial" w:cs="Arial"/>
              </w:rPr>
              <w:t xml:space="preserve">Zusammenhang: Erwartungswert und Standardabweichung – </w:t>
            </w:r>
            <w:r w:rsidRPr="00A61426">
              <w:rPr>
                <w:rFonts w:ascii="Arial" w:eastAsia="Times New Roman" w:hAnsi="Arial" w:cs="Arial"/>
              </w:rPr>
              <w:br/>
              <w:t xml:space="preserve">Form und Lage der Glockenkurve </w:t>
            </w:r>
            <w:r w:rsidRPr="00A61426">
              <w:rPr>
                <w:rFonts w:ascii="Arial" w:eastAsia="Times New Roman" w:hAnsi="Arial" w:cs="Arial"/>
              </w:rPr>
              <w:br/>
              <w:t xml:space="preserve">Funktionsgleichung </w:t>
            </w:r>
            <w:r w:rsidRPr="00A61426">
              <w:rPr>
                <w:rFonts w:ascii="Arial" w:eastAsia="Times New Roman" w:hAnsi="Arial" w:cs="Arial"/>
                <w:position w:val="-26"/>
              </w:rPr>
              <w:object w:dxaOrig="2560" w:dyaOrig="820" w14:anchorId="17C50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3.5pt" o:ole="">
                  <v:imagedata r:id="rId10" o:title=""/>
                </v:shape>
                <o:OLEObject Type="Embed" ProgID="Equation.DSMT4" ShapeID="_x0000_i1025" DrawAspect="Content" ObjectID="_1611084369" r:id="rId11"/>
              </w:object>
            </w:r>
            <w:r w:rsidRPr="00A61426">
              <w:rPr>
                <w:rFonts w:ascii="Arial" w:eastAsia="Times New Roman" w:hAnsi="Arial" w:cs="Arial"/>
              </w:rPr>
              <w:t xml:space="preserve"> als mögliche Vertiefung in konkreten Fällen</w:t>
            </w:r>
          </w:p>
        </w:tc>
        <w:tc>
          <w:tcPr>
            <w:tcW w:w="4237" w:type="dxa"/>
          </w:tcPr>
          <w:p w14:paraId="7164DD18" w14:textId="77777777" w:rsidR="00A61426" w:rsidRPr="00A61426" w:rsidRDefault="00A61426" w:rsidP="00A61426">
            <w:pPr>
              <w:widowControl w:val="0"/>
              <w:spacing w:after="120" w:line="240" w:lineRule="auto"/>
              <w:rPr>
                <w:rFonts w:ascii="Arial" w:eastAsia="Times New Roman" w:hAnsi="Arial" w:cs="Arial"/>
              </w:rPr>
            </w:pPr>
            <w:r w:rsidRPr="00A61426">
              <w:rPr>
                <w:rFonts w:ascii="Arial" w:eastAsia="Times New Roman" w:hAnsi="Arial" w:cs="Arial"/>
              </w:rPr>
              <w:t>Lückentext (grundlegendes oder erweitertes Niveau)</w:t>
            </w:r>
          </w:p>
          <w:p w14:paraId="4582D808" w14:textId="77777777" w:rsidR="00A61426" w:rsidRPr="00A61426" w:rsidRDefault="00A61426" w:rsidP="00A61426">
            <w:pPr>
              <w:widowControl w:val="0"/>
              <w:spacing w:after="120" w:line="240" w:lineRule="auto"/>
              <w:ind w:left="71"/>
              <w:contextualSpacing/>
              <w:rPr>
                <w:rFonts w:ascii="Arial" w:eastAsia="Times New Roman" w:hAnsi="Arial" w:cs="Arial"/>
                <w:spacing w:val="-4"/>
                <w:sz w:val="20"/>
              </w:rPr>
            </w:pPr>
            <w:r w:rsidRPr="00A61426">
              <w:rPr>
                <w:rFonts w:ascii="Calibri" w:eastAsia="Times New Roman" w:hAnsi="Calibri" w:cs="Times New Roman"/>
                <w:i/>
                <w:color w:val="0000FF"/>
                <w:spacing w:val="-4"/>
                <w:sz w:val="20"/>
                <w:u w:val="single"/>
              </w:rPr>
              <w:t>sto1_07_m05_zusammenhang_kenngroessen_glockenkurve_grundlegend.docx</w:t>
            </w:r>
            <w:r w:rsidRPr="00A61426">
              <w:rPr>
                <w:rFonts w:ascii="Calibri" w:eastAsia="Times New Roman" w:hAnsi="Calibri" w:cs="Times New Roman"/>
                <w:i/>
                <w:color w:val="0000FF"/>
                <w:spacing w:val="-4"/>
                <w:sz w:val="20"/>
                <w:u w:val="single"/>
              </w:rPr>
              <w:br/>
            </w:r>
          </w:p>
          <w:p w14:paraId="47A67D8D" w14:textId="77777777" w:rsidR="00A61426" w:rsidRPr="00A61426" w:rsidRDefault="00A61426" w:rsidP="00A61426">
            <w:pPr>
              <w:widowControl w:val="0"/>
              <w:spacing w:after="120" w:line="240" w:lineRule="auto"/>
              <w:ind w:left="71"/>
              <w:contextualSpacing/>
              <w:rPr>
                <w:rFonts w:ascii="Calibri" w:eastAsia="Times New Roman" w:hAnsi="Calibri" w:cs="Times New Roman"/>
                <w:i/>
                <w:color w:val="0000FF"/>
                <w:spacing w:val="-4"/>
                <w:sz w:val="20"/>
                <w:u w:val="single"/>
              </w:rPr>
            </w:pPr>
            <w:r w:rsidRPr="00A61426">
              <w:rPr>
                <w:rFonts w:ascii="Calibri" w:eastAsia="Times New Roman" w:hAnsi="Calibri" w:cs="Times New Roman"/>
                <w:i/>
                <w:color w:val="0000FF"/>
                <w:spacing w:val="-4"/>
                <w:sz w:val="20"/>
                <w:u w:val="single"/>
              </w:rPr>
              <w:t>sto1_07_m06_zusammenhang_kenngroessen_glockenkurve_erweitert.docx</w:t>
            </w:r>
            <w:r w:rsidRPr="00A61426">
              <w:rPr>
                <w:rFonts w:ascii="Calibri" w:eastAsia="Times New Roman" w:hAnsi="Calibri" w:cs="Times New Roman"/>
                <w:i/>
                <w:color w:val="0000FF"/>
                <w:spacing w:val="-4"/>
                <w:sz w:val="20"/>
                <w:u w:val="single"/>
              </w:rPr>
              <w:br/>
            </w:r>
          </w:p>
          <w:p w14:paraId="592B7179" w14:textId="77777777" w:rsidR="00A61426" w:rsidRPr="00A61426" w:rsidRDefault="00A61426" w:rsidP="00A61426">
            <w:pPr>
              <w:widowControl w:val="0"/>
              <w:spacing w:after="120" w:line="240" w:lineRule="auto"/>
              <w:ind w:left="72"/>
              <w:contextualSpacing/>
              <w:rPr>
                <w:rFonts w:ascii="Arial" w:eastAsia="Times New Roman" w:hAnsi="Arial" w:cs="Arial"/>
              </w:rPr>
            </w:pPr>
            <w:r w:rsidRPr="00A61426">
              <w:rPr>
                <w:rFonts w:ascii="Calibri" w:eastAsia="Times New Roman" w:hAnsi="Calibri" w:cs="Times New Roman"/>
                <w:i/>
                <w:color w:val="0000FF"/>
                <w:spacing w:val="-4"/>
                <w:sz w:val="20"/>
                <w:u w:val="single"/>
              </w:rPr>
              <w:t>sto1_07_m07_zusammenhang_kenngroessen_glockenkurve_loesung.docx</w:t>
            </w:r>
          </w:p>
        </w:tc>
      </w:tr>
      <w:tr w:rsidR="00A61426" w:rsidRPr="00A61426" w14:paraId="6445943A" w14:textId="77777777" w:rsidTr="009F260D">
        <w:trPr>
          <w:cantSplit/>
          <w:trHeight w:val="1406"/>
        </w:trPr>
        <w:tc>
          <w:tcPr>
            <w:tcW w:w="964" w:type="dxa"/>
            <w:vAlign w:val="center"/>
          </w:tcPr>
          <w:p w14:paraId="74F1F7DD"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lastRenderedPageBreak/>
              <w:t>7</w:t>
            </w:r>
          </w:p>
        </w:tc>
        <w:tc>
          <w:tcPr>
            <w:tcW w:w="2042" w:type="dxa"/>
            <w:vMerge/>
            <w:vAlign w:val="center"/>
          </w:tcPr>
          <w:p w14:paraId="01BEC436" w14:textId="77777777" w:rsidR="00A61426" w:rsidRPr="00A61426" w:rsidRDefault="00A61426" w:rsidP="00A61426">
            <w:pPr>
              <w:spacing w:line="260" w:lineRule="exact"/>
              <w:rPr>
                <w:rFonts w:ascii="Arial" w:eastAsia="Times New Roman" w:hAnsi="Arial" w:cs="Arial"/>
              </w:rPr>
            </w:pPr>
          </w:p>
        </w:tc>
        <w:tc>
          <w:tcPr>
            <w:tcW w:w="6667" w:type="dxa"/>
            <w:vAlign w:val="center"/>
          </w:tcPr>
          <w:p w14:paraId="0E7A06E4" w14:textId="77777777" w:rsidR="00A61426" w:rsidRPr="00A61426" w:rsidRDefault="00A61426" w:rsidP="00A61426">
            <w:pPr>
              <w:spacing w:after="120" w:line="240" w:lineRule="auto"/>
              <w:rPr>
                <w:rFonts w:ascii="Arial" w:eastAsia="Times New Roman" w:hAnsi="Arial" w:cs="Arial"/>
              </w:rPr>
            </w:pPr>
            <w:r w:rsidRPr="00A61426">
              <w:rPr>
                <w:rFonts w:ascii="Arial" w:eastAsia="Times New Roman" w:hAnsi="Arial" w:cs="Arial"/>
              </w:rPr>
              <w:t>Erwartungswert und Standardabweichung normalverteilter Zufallsgrößen ermitteln</w:t>
            </w:r>
          </w:p>
          <w:p w14:paraId="7A66FFF1" w14:textId="77777777" w:rsidR="00A61426" w:rsidRPr="00A61426" w:rsidRDefault="00A61426" w:rsidP="00A61426">
            <w:pPr>
              <w:numPr>
                <w:ilvl w:val="0"/>
                <w:numId w:val="7"/>
              </w:numPr>
              <w:spacing w:after="120" w:line="240" w:lineRule="auto"/>
              <w:ind w:left="643"/>
              <w:contextualSpacing/>
              <w:rPr>
                <w:rFonts w:ascii="Arial" w:eastAsia="Times New Roman" w:hAnsi="Arial" w:cs="Arial"/>
              </w:rPr>
            </w:pPr>
            <w:r w:rsidRPr="00A61426">
              <w:rPr>
                <w:rFonts w:ascii="Arial" w:eastAsia="Times New Roman" w:hAnsi="Arial" w:cs="Arial"/>
              </w:rPr>
              <w:t>mithilfe der Definition (händisch)</w:t>
            </w:r>
          </w:p>
          <w:p w14:paraId="5C75AA59" w14:textId="77777777" w:rsidR="00A61426" w:rsidRPr="00A61426" w:rsidRDefault="00A61426" w:rsidP="00A61426">
            <w:pPr>
              <w:numPr>
                <w:ilvl w:val="0"/>
                <w:numId w:val="7"/>
              </w:numPr>
              <w:spacing w:after="120" w:line="240" w:lineRule="auto"/>
              <w:ind w:left="643"/>
              <w:contextualSpacing/>
              <w:rPr>
                <w:rFonts w:ascii="Arial" w:eastAsia="Times New Roman" w:hAnsi="Arial" w:cs="Arial"/>
              </w:rPr>
            </w:pPr>
            <w:r w:rsidRPr="00A61426">
              <w:rPr>
                <w:rFonts w:ascii="Arial" w:eastAsia="Times New Roman" w:hAnsi="Arial" w:cs="Arial"/>
              </w:rPr>
              <w:t>mithilfe des WTR</w:t>
            </w:r>
          </w:p>
        </w:tc>
        <w:tc>
          <w:tcPr>
            <w:tcW w:w="4237" w:type="dxa"/>
          </w:tcPr>
          <w:p w14:paraId="29150475" w14:textId="77777777" w:rsidR="00A61426" w:rsidRPr="00A61426" w:rsidRDefault="00A61426" w:rsidP="00A61426">
            <w:pPr>
              <w:widowControl w:val="0"/>
              <w:spacing w:after="120" w:line="240" w:lineRule="auto"/>
              <w:rPr>
                <w:rFonts w:ascii="Arial" w:eastAsia="Times New Roman" w:hAnsi="Arial" w:cs="Arial"/>
              </w:rPr>
            </w:pPr>
            <w:r w:rsidRPr="00A61426">
              <w:rPr>
                <w:rFonts w:ascii="Arial" w:eastAsia="Times New Roman" w:hAnsi="Arial" w:cs="Arial"/>
              </w:rPr>
              <w:t>Planarbeit</w:t>
            </w:r>
          </w:p>
          <w:p w14:paraId="2658B41A" w14:textId="77777777" w:rsidR="00A61426" w:rsidRPr="00A61426" w:rsidRDefault="00A61426" w:rsidP="00A61426">
            <w:pPr>
              <w:widowControl w:val="0"/>
              <w:spacing w:after="120" w:line="240" w:lineRule="auto"/>
              <w:rPr>
                <w:rFonts w:ascii="Arial" w:eastAsia="Times New Roman" w:hAnsi="Arial" w:cs="Arial"/>
              </w:rPr>
            </w:pPr>
            <w:r w:rsidRPr="00A61426">
              <w:rPr>
                <w:rFonts w:ascii="Calibri" w:eastAsia="Times New Roman" w:hAnsi="Calibri" w:cs="Times New Roman"/>
                <w:i/>
                <w:color w:val="0000FF"/>
                <w:sz w:val="20"/>
                <w:u w:val="single"/>
              </w:rPr>
              <w:t>sto1_07_m08_planarbeit_kenngroessen_ermitteln.docx</w:t>
            </w:r>
          </w:p>
          <w:p w14:paraId="34021ABE" w14:textId="77777777" w:rsidR="00A61426" w:rsidRPr="00A61426" w:rsidRDefault="00A61426" w:rsidP="00A61426">
            <w:pPr>
              <w:widowControl w:val="0"/>
              <w:spacing w:after="120" w:line="240" w:lineRule="auto"/>
              <w:rPr>
                <w:rFonts w:ascii="Arial" w:eastAsia="Times New Roman" w:hAnsi="Arial" w:cs="Arial"/>
              </w:rPr>
            </w:pPr>
            <w:r w:rsidRPr="00A61426">
              <w:rPr>
                <w:rFonts w:ascii="Arial" w:eastAsia="Times New Roman" w:hAnsi="Arial" w:cs="Arial"/>
              </w:rPr>
              <w:t>Hilfeblatt 1 (Definition)</w:t>
            </w:r>
          </w:p>
          <w:p w14:paraId="4FC8C7EF" w14:textId="77777777" w:rsidR="00A61426" w:rsidRPr="00A61426" w:rsidRDefault="00A61426" w:rsidP="00A61426">
            <w:pPr>
              <w:widowControl w:val="0"/>
              <w:spacing w:after="120" w:line="240" w:lineRule="auto"/>
              <w:rPr>
                <w:rFonts w:ascii="Arial" w:eastAsia="Times New Roman" w:hAnsi="Arial" w:cs="Arial"/>
              </w:rPr>
            </w:pPr>
            <w:r w:rsidRPr="00A61426">
              <w:rPr>
                <w:rFonts w:ascii="Calibri" w:eastAsia="Times New Roman" w:hAnsi="Calibri" w:cs="Times New Roman"/>
                <w:i/>
                <w:color w:val="0000FF"/>
                <w:sz w:val="20"/>
                <w:u w:val="single"/>
              </w:rPr>
              <w:t>sto1_07_m09_hilfeblatt1_kenngroessen.docx</w:t>
            </w:r>
          </w:p>
          <w:p w14:paraId="64AAFEA7" w14:textId="77777777" w:rsidR="00A61426" w:rsidRPr="00A61426" w:rsidRDefault="00A61426" w:rsidP="00A61426">
            <w:pPr>
              <w:widowControl w:val="0"/>
              <w:spacing w:after="120" w:line="240" w:lineRule="auto"/>
              <w:rPr>
                <w:rFonts w:ascii="Arial" w:eastAsia="Times New Roman" w:hAnsi="Arial" w:cs="Arial"/>
              </w:rPr>
            </w:pPr>
            <w:r w:rsidRPr="00A61426">
              <w:rPr>
                <w:rFonts w:ascii="Arial" w:eastAsia="Times New Roman" w:hAnsi="Arial" w:cs="Arial"/>
              </w:rPr>
              <w:t>Hilfeblatt 2 (WTR)</w:t>
            </w:r>
          </w:p>
          <w:p w14:paraId="0EF83CEA" w14:textId="77777777" w:rsidR="00A61426" w:rsidRPr="00A61426" w:rsidRDefault="00A61426" w:rsidP="00A61426">
            <w:pPr>
              <w:widowControl w:val="0"/>
              <w:spacing w:after="120" w:line="240" w:lineRule="auto"/>
              <w:rPr>
                <w:rFonts w:ascii="Arial" w:eastAsia="Times New Roman" w:hAnsi="Arial" w:cs="Arial"/>
              </w:rPr>
            </w:pPr>
            <w:r w:rsidRPr="00A61426">
              <w:rPr>
                <w:rFonts w:ascii="Calibri" w:eastAsia="Times New Roman" w:hAnsi="Calibri" w:cs="Times New Roman"/>
                <w:i/>
                <w:color w:val="0000FF"/>
                <w:sz w:val="20"/>
                <w:u w:val="single"/>
              </w:rPr>
              <w:t>sto1_07_m10_hilfeblatt2_kenngroessen.docx</w:t>
            </w:r>
          </w:p>
        </w:tc>
      </w:tr>
      <w:tr w:rsidR="00A61426" w:rsidRPr="00A61426" w14:paraId="30F4244D" w14:textId="77777777" w:rsidTr="009F260D">
        <w:trPr>
          <w:cantSplit/>
          <w:trHeight w:val="927"/>
        </w:trPr>
        <w:tc>
          <w:tcPr>
            <w:tcW w:w="964" w:type="dxa"/>
            <w:vAlign w:val="center"/>
          </w:tcPr>
          <w:p w14:paraId="5C547040"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t>8 – 9</w:t>
            </w:r>
          </w:p>
        </w:tc>
        <w:tc>
          <w:tcPr>
            <w:tcW w:w="2042" w:type="dxa"/>
            <w:vAlign w:val="center"/>
          </w:tcPr>
          <w:p w14:paraId="2E6338C5"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Untersuchung annähernd normalverteilter Zufallsgrößen</w:t>
            </w:r>
          </w:p>
        </w:tc>
        <w:tc>
          <w:tcPr>
            <w:tcW w:w="6667" w:type="dxa"/>
            <w:vAlign w:val="center"/>
          </w:tcPr>
          <w:p w14:paraId="2F859829" w14:textId="77777777" w:rsidR="00A61426" w:rsidRPr="00A61426" w:rsidRDefault="00A61426" w:rsidP="00A61426">
            <w:pPr>
              <w:spacing w:after="120" w:line="240" w:lineRule="auto"/>
              <w:rPr>
                <w:rFonts w:ascii="Arial" w:eastAsia="Times New Roman" w:hAnsi="Arial" w:cs="Arial"/>
              </w:rPr>
            </w:pPr>
            <w:r w:rsidRPr="00A61426">
              <w:rPr>
                <w:rFonts w:ascii="Arial" w:eastAsia="Times New Roman" w:hAnsi="Arial" w:cs="Arial"/>
              </w:rPr>
              <w:t>Anwendungsaufgaben</w:t>
            </w:r>
          </w:p>
        </w:tc>
        <w:tc>
          <w:tcPr>
            <w:tcW w:w="4237" w:type="dxa"/>
          </w:tcPr>
          <w:p w14:paraId="332B3862"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Übungsaufgaben</w:t>
            </w:r>
            <w:r w:rsidRPr="00A61426">
              <w:rPr>
                <w:rFonts w:ascii="Arial" w:eastAsia="Times New Roman" w:hAnsi="Arial" w:cs="Arial"/>
              </w:rPr>
              <w:br/>
              <w:t>„Hühnereier“</w:t>
            </w:r>
          </w:p>
          <w:p w14:paraId="1C1ED920" w14:textId="77777777" w:rsidR="00A61426" w:rsidRPr="00A61426" w:rsidRDefault="00A61426" w:rsidP="00A61426">
            <w:pPr>
              <w:spacing w:after="120" w:line="260" w:lineRule="exact"/>
              <w:rPr>
                <w:rFonts w:ascii="Arial" w:eastAsia="Times New Roman" w:hAnsi="Arial" w:cs="Arial"/>
              </w:rPr>
            </w:pPr>
            <w:r w:rsidRPr="00A61426">
              <w:rPr>
                <w:rFonts w:ascii="Calibri" w:eastAsia="Times New Roman" w:hAnsi="Calibri" w:cs="Times New Roman"/>
                <w:i/>
                <w:color w:val="0000FF"/>
                <w:sz w:val="20"/>
                <w:u w:val="single"/>
              </w:rPr>
              <w:t>sto1_07_m11_uebung_huehnereier.docx</w:t>
            </w:r>
          </w:p>
          <w:p w14:paraId="667C6C13"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„Schuhgrößen“</w:t>
            </w:r>
          </w:p>
          <w:p w14:paraId="4E4B11BB" w14:textId="77777777" w:rsidR="00A61426" w:rsidRPr="00A61426" w:rsidRDefault="00A61426" w:rsidP="00A61426">
            <w:pPr>
              <w:spacing w:after="120" w:line="260" w:lineRule="exact"/>
              <w:rPr>
                <w:rFonts w:ascii="Arial" w:eastAsia="Times New Roman" w:hAnsi="Arial" w:cs="Arial"/>
              </w:rPr>
            </w:pPr>
            <w:r w:rsidRPr="00A61426">
              <w:rPr>
                <w:rFonts w:ascii="Calibri" w:eastAsia="Times New Roman" w:hAnsi="Calibri" w:cs="Times New Roman"/>
                <w:i/>
                <w:color w:val="0000FF"/>
                <w:sz w:val="20"/>
                <w:u w:val="single"/>
              </w:rPr>
              <w:t>sto1_07_m12_uebung_schuhgroessen.docx</w:t>
            </w:r>
          </w:p>
        </w:tc>
      </w:tr>
      <w:tr w:rsidR="00A61426" w:rsidRPr="00A61426" w14:paraId="6F15B977" w14:textId="77777777" w:rsidTr="009F260D">
        <w:trPr>
          <w:cantSplit/>
          <w:trHeight w:val="927"/>
        </w:trPr>
        <w:tc>
          <w:tcPr>
            <w:tcW w:w="964" w:type="dxa"/>
            <w:vAlign w:val="center"/>
          </w:tcPr>
          <w:p w14:paraId="212170FF"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t>10 – 11</w:t>
            </w:r>
          </w:p>
        </w:tc>
        <w:tc>
          <w:tcPr>
            <w:tcW w:w="2042" w:type="dxa"/>
            <w:vAlign w:val="center"/>
          </w:tcPr>
          <w:p w14:paraId="1AF8A401"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 xml:space="preserve">komplexere Übungen oder mögliche Vertiefungen </w:t>
            </w:r>
          </w:p>
        </w:tc>
        <w:tc>
          <w:tcPr>
            <w:tcW w:w="6667" w:type="dxa"/>
            <w:vAlign w:val="center"/>
          </w:tcPr>
          <w:p w14:paraId="4FB88B23" w14:textId="77777777" w:rsidR="00A61426" w:rsidRPr="00A61426" w:rsidRDefault="00A61426" w:rsidP="00A61426">
            <w:pPr>
              <w:spacing w:line="240" w:lineRule="auto"/>
              <w:rPr>
                <w:rFonts w:ascii="Arial" w:eastAsia="Times New Roman" w:hAnsi="Arial" w:cs="Arial"/>
              </w:rPr>
            </w:pPr>
            <w:r w:rsidRPr="00A61426">
              <w:rPr>
                <w:rFonts w:ascii="Arial" w:eastAsia="Times New Roman" w:hAnsi="Arial" w:cs="Arial"/>
              </w:rPr>
              <w:t>Sigma-Umgebung als mögliche Vertiefung</w:t>
            </w:r>
          </w:p>
          <w:p w14:paraId="75BE9035" w14:textId="77777777" w:rsidR="00A61426" w:rsidRPr="00A61426" w:rsidRDefault="00A61426" w:rsidP="00A61426">
            <w:pPr>
              <w:numPr>
                <w:ilvl w:val="0"/>
                <w:numId w:val="11"/>
              </w:numPr>
              <w:spacing w:line="240" w:lineRule="auto"/>
              <w:ind w:left="643"/>
              <w:contextualSpacing/>
              <w:rPr>
                <w:rFonts w:ascii="Arial" w:eastAsia="Times New Roman" w:hAnsi="Arial" w:cs="Arial"/>
              </w:rPr>
            </w:pPr>
            <w:r w:rsidRPr="00A61426">
              <w:rPr>
                <w:rFonts w:ascii="Arial" w:eastAsia="Times New Roman" w:hAnsi="Arial" w:cs="Arial"/>
              </w:rPr>
              <w:t xml:space="preserve">entweder in Berechnungen ( </w:t>
            </w:r>
            <m:oMath>
              <m:r>
                <m:rPr>
                  <m:sty m:val="p"/>
                </m:rPr>
                <w:rPr>
                  <w:rFonts w:ascii="Cambria Math" w:eastAsia="Times New Roman" w:hAnsi="Cambria Math" w:cs="Arial"/>
                </w:rPr>
                <m:t>P(μ-σ&lt;X&lt;μ+σ)</m:t>
              </m:r>
            </m:oMath>
            <w:r w:rsidRPr="00A61426">
              <w:rPr>
                <w:rFonts w:ascii="Arial" w:eastAsia="Times New Roman" w:hAnsi="Arial" w:cs="Arial"/>
              </w:rPr>
              <w:t xml:space="preserve"> ) </w:t>
            </w:r>
            <w:r w:rsidRPr="00A61426">
              <w:rPr>
                <w:rFonts w:ascii="Arial" w:eastAsia="Times New Roman" w:hAnsi="Arial" w:cs="Arial"/>
              </w:rPr>
              <w:br/>
              <w:t>andeuten</w:t>
            </w:r>
          </w:p>
          <w:p w14:paraId="2AAF40EF" w14:textId="77777777" w:rsidR="00A61426" w:rsidRPr="00A61426" w:rsidRDefault="00A61426" w:rsidP="0084658B">
            <w:pPr>
              <w:numPr>
                <w:ilvl w:val="0"/>
                <w:numId w:val="11"/>
              </w:numPr>
              <w:spacing w:line="240" w:lineRule="auto"/>
              <w:ind w:left="641" w:hanging="357"/>
              <w:rPr>
                <w:rFonts w:ascii="Wingdings" w:eastAsia="Times New Roman" w:hAnsi="Wingdings" w:cs="Arial"/>
              </w:rPr>
            </w:pPr>
            <w:r w:rsidRPr="00A61426">
              <w:rPr>
                <w:rFonts w:ascii="Arial" w:eastAsia="Times New Roman" w:hAnsi="Arial" w:cs="Arial"/>
              </w:rPr>
              <w:t>oder als Vertiefung σ-Regeln konkret formulieren</w:t>
            </w:r>
            <w:r w:rsidRPr="00A61426">
              <w:rPr>
                <w:rFonts w:ascii="Calibri" w:eastAsia="Times New Roman" w:hAnsi="Calibri" w:cs="Calibri"/>
              </w:rPr>
              <w:t xml:space="preserve"> </w:t>
            </w:r>
          </w:p>
        </w:tc>
        <w:tc>
          <w:tcPr>
            <w:tcW w:w="4237" w:type="dxa"/>
          </w:tcPr>
          <w:p w14:paraId="205AD815"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Übungsaufgabe</w:t>
            </w:r>
            <w:r w:rsidRPr="00A61426">
              <w:rPr>
                <w:rFonts w:ascii="Arial" w:eastAsia="Times New Roman" w:hAnsi="Arial" w:cs="Arial"/>
              </w:rPr>
              <w:br/>
              <w:t>„Körpergröße“</w:t>
            </w:r>
          </w:p>
          <w:p w14:paraId="58206D80" w14:textId="77777777" w:rsidR="00A61426" w:rsidRPr="00A61426" w:rsidRDefault="00A61426" w:rsidP="00A61426">
            <w:pPr>
              <w:spacing w:line="260" w:lineRule="exact"/>
              <w:rPr>
                <w:rFonts w:ascii="Arial" w:eastAsia="Times New Roman" w:hAnsi="Arial" w:cs="Arial"/>
              </w:rPr>
            </w:pPr>
            <w:r w:rsidRPr="00A61426">
              <w:rPr>
                <w:rFonts w:ascii="Calibri" w:eastAsia="Times New Roman" w:hAnsi="Calibri" w:cs="Times New Roman"/>
                <w:i/>
                <w:color w:val="0000FF"/>
                <w:sz w:val="20"/>
                <w:u w:val="single"/>
              </w:rPr>
              <w:t>sto1_07_m13_uebung_koerpergroesse.docx</w:t>
            </w:r>
          </w:p>
        </w:tc>
      </w:tr>
    </w:tbl>
    <w:p w14:paraId="2F78EEA3" w14:textId="77777777" w:rsidR="00A61426" w:rsidRPr="00A61426" w:rsidRDefault="00A61426" w:rsidP="00A61426">
      <w:pPr>
        <w:contextualSpacing/>
        <w:rPr>
          <w:rFonts w:ascii="Arial" w:eastAsia="Times New Roman" w:hAnsi="Arial" w:cs="Arial"/>
          <w:szCs w:val="24"/>
        </w:rPr>
      </w:pPr>
    </w:p>
    <w:p w14:paraId="755ECE86" w14:textId="27B7C3C9" w:rsidR="0040248B" w:rsidRDefault="00A61426" w:rsidP="00A61426">
      <w:pPr>
        <w:rPr>
          <w:rStyle w:val="Hervorhebung"/>
          <w:b w:val="0"/>
        </w:rPr>
        <w:sectPr w:rsidR="0040248B" w:rsidSect="0040248B">
          <w:headerReference w:type="default" r:id="rId12"/>
          <w:footerReference w:type="default" r:id="rId13"/>
          <w:pgSz w:w="16838" w:h="11906" w:orient="landscape"/>
          <w:pgMar w:top="1417" w:right="1417" w:bottom="851" w:left="1134" w:header="708" w:footer="708" w:gutter="0"/>
          <w:cols w:space="708"/>
          <w:docGrid w:linePitch="360"/>
        </w:sectPr>
      </w:pPr>
      <w:r w:rsidRPr="00A61426">
        <w:rPr>
          <w:rFonts w:ascii="Arial" w:eastAsia="Times New Roman" w:hAnsi="Arial" w:cs="Arial"/>
          <w:szCs w:val="24"/>
        </w:rPr>
        <w:t xml:space="preserve"> (*) Die ausgewiesene Stundenzahl bezieht sich auf 45-Minuten-Einheiten.</w:t>
      </w:r>
    </w:p>
    <w:p w14:paraId="5125E7BD" w14:textId="77777777" w:rsidR="0040248B" w:rsidRPr="00A61426" w:rsidRDefault="0040248B" w:rsidP="0084658B">
      <w:pPr>
        <w:pStyle w:val="berschrift1"/>
        <w:ind w:left="426" w:hanging="426"/>
      </w:pPr>
      <w:r w:rsidRPr="00A61426">
        <w:rPr>
          <w:iCs/>
        </w:rPr>
        <w:lastRenderedPageBreak/>
        <w:t>Hinweise zu den Unterrichtsstunden und Materialien</w:t>
      </w:r>
    </w:p>
    <w:p w14:paraId="36380E36" w14:textId="77777777" w:rsidR="0040248B" w:rsidRDefault="0040248B" w:rsidP="0040248B">
      <w:pPr>
        <w:spacing w:after="240"/>
        <w:rPr>
          <w:b/>
          <w:u w:val="single"/>
        </w:rPr>
      </w:pPr>
      <w:r>
        <w:rPr>
          <w:b/>
          <w:u w:val="single"/>
        </w:rPr>
        <w:t>Stunde 1</w:t>
      </w:r>
      <w:r w:rsidR="00B94795">
        <w:rPr>
          <w:b/>
          <w:u w:val="single"/>
        </w:rPr>
        <w:t xml:space="preserve"> – 3</w:t>
      </w:r>
      <w:r>
        <w:rPr>
          <w:b/>
          <w:u w:val="single"/>
        </w:rPr>
        <w:t>: Wiederholung der Binomialverteilung</w:t>
      </w:r>
      <w:r w:rsidRPr="00EC68EC">
        <w:rPr>
          <w:b/>
          <w:u w:val="single"/>
        </w:rPr>
        <w:t>:</w:t>
      </w:r>
    </w:p>
    <w:p w14:paraId="1F85EB36" w14:textId="77777777" w:rsidR="0040248B" w:rsidRDefault="0040248B" w:rsidP="0040248B">
      <w:pPr>
        <w:spacing w:after="240"/>
        <w:jc w:val="both"/>
      </w:pPr>
      <w:r>
        <w:t xml:space="preserve">Im ersten Teil einer </w:t>
      </w:r>
      <w:r w:rsidRPr="008B50EA">
        <w:t xml:space="preserve">Planarbeit </w:t>
      </w:r>
      <w:r>
        <w:t>soll in den Vorüberlegungen die Wahrscheinlichkeitsverteilung einer binomialverteilten Zufallsgröße (Sammelfiguren in Überraschungseiern) für eine relativ kleine Kettenlänge bestimmt werden. Dadurch wird gewährleistet, dass eventuell auch ein Baumdiagramm zur Lösung des Problems herangezogen werden kann. Mithilfe des eingeführten Schulbuchs oder auch des ausgelegten Infoblattes frischen die Schülerinnen und Schüler ihre Kenntnisse auf über:</w:t>
      </w:r>
    </w:p>
    <w:p w14:paraId="6F9D35EE" w14:textId="77777777" w:rsidR="0040248B" w:rsidRDefault="0040248B" w:rsidP="0040248B">
      <w:pPr>
        <w:numPr>
          <w:ilvl w:val="1"/>
          <w:numId w:val="3"/>
        </w:numPr>
        <w:tabs>
          <w:tab w:val="clear" w:pos="1440"/>
        </w:tabs>
        <w:spacing w:after="240"/>
        <w:ind w:left="709" w:hanging="357"/>
        <w:contextualSpacing/>
      </w:pPr>
      <w:r w:rsidRPr="00E20AD8">
        <w:t>Bernoulli-Versuch, Bernoulli-Kette</w:t>
      </w:r>
      <w:r>
        <w:t xml:space="preserve">, </w:t>
      </w:r>
      <w:r w:rsidRPr="00E20AD8">
        <w:t>Binomialverteilung</w:t>
      </w:r>
      <w:r>
        <w:t xml:space="preserve">, die </w:t>
      </w:r>
      <w:r w:rsidRPr="00E20AD8">
        <w:t>Formel von Bernoulli</w:t>
      </w:r>
    </w:p>
    <w:p w14:paraId="7D2AD7F4" w14:textId="77777777" w:rsidR="0040248B" w:rsidRPr="00E20AD8" w:rsidRDefault="0040248B" w:rsidP="0040248B">
      <w:pPr>
        <w:numPr>
          <w:ilvl w:val="1"/>
          <w:numId w:val="3"/>
        </w:numPr>
        <w:tabs>
          <w:tab w:val="clear" w:pos="1440"/>
        </w:tabs>
        <w:spacing w:after="240"/>
        <w:ind w:left="709" w:hanging="357"/>
        <w:contextualSpacing/>
      </w:pPr>
      <w:r>
        <w:t xml:space="preserve">Singuläre </w:t>
      </w:r>
      <w:r w:rsidR="00A37082">
        <w:t xml:space="preserve">(Einzel-) </w:t>
      </w:r>
      <w:r>
        <w:t>und kumulierte Wahrscheinlichkeiten</w:t>
      </w:r>
    </w:p>
    <w:p w14:paraId="6FABAC71" w14:textId="77777777" w:rsidR="0040248B" w:rsidRDefault="0040248B" w:rsidP="0040248B">
      <w:pPr>
        <w:numPr>
          <w:ilvl w:val="1"/>
          <w:numId w:val="3"/>
        </w:numPr>
        <w:tabs>
          <w:tab w:val="clear" w:pos="1440"/>
        </w:tabs>
        <w:spacing w:after="240"/>
        <w:ind w:left="709" w:hanging="357"/>
      </w:pPr>
      <w:r w:rsidRPr="00E20AD8">
        <w:t xml:space="preserve">Erwartungswert </w:t>
      </w:r>
      <w:r>
        <w:t>und Standardabweichung</w:t>
      </w:r>
      <w:r w:rsidR="00A37082">
        <w:t>*</w:t>
      </w:r>
      <w:r>
        <w:t xml:space="preserve"> </w:t>
      </w:r>
      <w:r w:rsidR="00A37082">
        <w:t>b</w:t>
      </w:r>
      <w:r w:rsidRPr="00E20AD8">
        <w:t>inomialverteil</w:t>
      </w:r>
      <w:r w:rsidR="00A37082">
        <w:t>ter Zufallsgrößen</w:t>
      </w:r>
    </w:p>
    <w:p w14:paraId="28034E2F" w14:textId="77777777" w:rsidR="00A37082" w:rsidRPr="00A61426" w:rsidRDefault="00A37082" w:rsidP="00A61426">
      <w:pPr>
        <w:spacing w:after="240" w:line="240" w:lineRule="auto"/>
        <w:jc w:val="both"/>
        <w:rPr>
          <w:color w:val="808080" w:themeColor="background1" w:themeShade="80"/>
          <w:sz w:val="20"/>
        </w:rPr>
      </w:pPr>
      <w:r w:rsidRPr="00A61426">
        <w:rPr>
          <w:color w:val="808080" w:themeColor="background1" w:themeShade="80"/>
          <w:sz w:val="20"/>
        </w:rPr>
        <w:t>* Für die Abiturjahrgänge 2021 &amp; 2022 kann der Begriff der Standardabweichung nicht vorausgesetzt werden und muss eventuell neu eingeführt werden.</w:t>
      </w:r>
    </w:p>
    <w:p w14:paraId="21DB208A" w14:textId="77777777" w:rsidR="0040248B" w:rsidRDefault="0040248B" w:rsidP="0040248B">
      <w:pPr>
        <w:spacing w:after="240"/>
        <w:jc w:val="both"/>
      </w:pPr>
      <w:r>
        <w:t>An die Bearbeitung von Umkehraufgaben zur Formel von Bernoulli (Bestimmen von k; n oder p) ist im Basisfach standardmäßig nicht gedacht. Solche Aufgaben können aber zur Differenzierung eingesetzt werden.</w:t>
      </w:r>
    </w:p>
    <w:p w14:paraId="6E7C2233" w14:textId="77777777" w:rsidR="0040248B" w:rsidRDefault="0040248B" w:rsidP="0040248B">
      <w:pPr>
        <w:spacing w:after="240"/>
        <w:jc w:val="both"/>
      </w:pPr>
      <w:r>
        <w:t xml:space="preserve">Im zweiten Teil steht das Betrachten </w:t>
      </w:r>
      <w:r w:rsidR="0066576F">
        <w:t xml:space="preserve">und Interpretieren </w:t>
      </w:r>
      <w:r>
        <w:t xml:space="preserve">von Histogrammen </w:t>
      </w:r>
      <w:r w:rsidR="0066576F">
        <w:t xml:space="preserve">sowie </w:t>
      </w:r>
      <w:r>
        <w:t xml:space="preserve">der Einfluss </w:t>
      </w:r>
      <w:r w:rsidR="0066576F">
        <w:t>von</w:t>
      </w:r>
      <w:r>
        <w:t xml:space="preserve"> Kettenlänge und Trefferwahrscheinlichkeit (und damit auch des Erwartungswertes) auf Lage und Form eines Histogramms im Vordergrund.</w:t>
      </w:r>
    </w:p>
    <w:p w14:paraId="2B38F717" w14:textId="5BB608A1" w:rsidR="0040248B" w:rsidRPr="00325947" w:rsidRDefault="0040248B" w:rsidP="0040248B">
      <w:pPr>
        <w:spacing w:after="240"/>
      </w:pPr>
      <w:r>
        <w:t xml:space="preserve">Je nach Bedarf schließen sich Übungen </w:t>
      </w:r>
      <w:r w:rsidR="00A61426">
        <w:t>zu</w:t>
      </w:r>
      <w:r>
        <w:t xml:space="preserve"> </w:t>
      </w:r>
      <w:r w:rsidR="00A61426">
        <w:t>folgenden Themen an (</w:t>
      </w:r>
      <w:r>
        <w:t>eingeführte</w:t>
      </w:r>
      <w:r w:rsidR="00A61426">
        <w:t>s</w:t>
      </w:r>
      <w:r>
        <w:t xml:space="preserve"> Schulbuch</w:t>
      </w:r>
      <w:r w:rsidR="00A61426">
        <w:t>)</w:t>
      </w:r>
      <w:r>
        <w:t xml:space="preserve">: </w:t>
      </w:r>
    </w:p>
    <w:p w14:paraId="436BEADF" w14:textId="77777777" w:rsidR="0040248B" w:rsidRPr="00EE50F3" w:rsidRDefault="0040248B" w:rsidP="0040248B">
      <w:pPr>
        <w:pStyle w:val="Listenabsatz"/>
        <w:numPr>
          <w:ilvl w:val="0"/>
          <w:numId w:val="4"/>
        </w:numPr>
        <w:spacing w:after="120"/>
      </w:pPr>
      <w:r w:rsidRPr="00EE50F3">
        <w:t>Überprüfung, ob eine Binomialverteilung angenommen werden kann</w:t>
      </w:r>
    </w:p>
    <w:p w14:paraId="1E1E4BB9" w14:textId="77777777" w:rsidR="0040248B" w:rsidRPr="00EE50F3" w:rsidRDefault="0040248B" w:rsidP="0040248B">
      <w:pPr>
        <w:pStyle w:val="Listenabsatz"/>
        <w:numPr>
          <w:ilvl w:val="0"/>
          <w:numId w:val="4"/>
        </w:numPr>
        <w:spacing w:after="120"/>
      </w:pPr>
      <w:r w:rsidRPr="00EE50F3">
        <w:t>Interpretation der Formel von Bernoulli</w:t>
      </w:r>
    </w:p>
    <w:p w14:paraId="0B4BC277" w14:textId="77777777" w:rsidR="0040248B" w:rsidRPr="00EE50F3" w:rsidRDefault="0040248B" w:rsidP="0040248B">
      <w:pPr>
        <w:pStyle w:val="Listenabsatz"/>
        <w:numPr>
          <w:ilvl w:val="0"/>
          <w:numId w:val="4"/>
        </w:numPr>
        <w:spacing w:after="120"/>
      </w:pPr>
      <w:r w:rsidRPr="00EE50F3">
        <w:t>Berechnung von P(X</w:t>
      </w:r>
      <w:r w:rsidR="00AC761E">
        <w:t xml:space="preserve"> </w:t>
      </w:r>
      <w:r w:rsidRPr="00EE50F3">
        <w:t>=</w:t>
      </w:r>
      <w:r w:rsidR="00AC761E">
        <w:t xml:space="preserve"> </w:t>
      </w:r>
      <w:r w:rsidRPr="00EE50F3">
        <w:t>k); P(X</w:t>
      </w:r>
      <w:r w:rsidR="00AC761E">
        <w:t xml:space="preserve"> </w:t>
      </w:r>
      <w:r w:rsidRPr="00EE50F3">
        <w:t>≤</w:t>
      </w:r>
      <w:r w:rsidR="00AC761E">
        <w:t xml:space="preserve"> </w:t>
      </w:r>
      <w:r w:rsidRPr="00EE50F3">
        <w:t>k); P(X</w:t>
      </w:r>
      <w:r w:rsidR="00AC761E">
        <w:t xml:space="preserve"> </w:t>
      </w:r>
      <w:r w:rsidRPr="00EE50F3">
        <w:t>≥</w:t>
      </w:r>
      <w:r w:rsidR="00AC761E">
        <w:t xml:space="preserve"> </w:t>
      </w:r>
      <w:r w:rsidRPr="00EE50F3">
        <w:t>k); P(k</w:t>
      </w:r>
      <w:r w:rsidRPr="00EE50F3">
        <w:rPr>
          <w:vertAlign w:val="subscript"/>
        </w:rPr>
        <w:t>1</w:t>
      </w:r>
      <w:r w:rsidR="00AC761E">
        <w:rPr>
          <w:vertAlign w:val="subscript"/>
        </w:rPr>
        <w:t xml:space="preserve"> </w:t>
      </w:r>
      <w:r w:rsidRPr="00EE50F3">
        <w:t>≤</w:t>
      </w:r>
      <w:r w:rsidR="00AC761E">
        <w:t xml:space="preserve"> </w:t>
      </w:r>
      <w:r w:rsidRPr="00EE50F3">
        <w:t>X</w:t>
      </w:r>
      <w:r w:rsidR="00AC761E">
        <w:t xml:space="preserve"> </w:t>
      </w:r>
      <w:r w:rsidRPr="00EE50F3">
        <w:t>≤</w:t>
      </w:r>
      <w:r w:rsidR="00AC761E">
        <w:t xml:space="preserve"> </w:t>
      </w:r>
      <w:r w:rsidRPr="00EE50F3">
        <w:t>k</w:t>
      </w:r>
      <w:r w:rsidRPr="00EE50F3">
        <w:rPr>
          <w:vertAlign w:val="subscript"/>
        </w:rPr>
        <w:t>2</w:t>
      </w:r>
      <w:r w:rsidRPr="00EE50F3">
        <w:t>)</w:t>
      </w:r>
    </w:p>
    <w:p w14:paraId="747002EE" w14:textId="77777777" w:rsidR="0040248B" w:rsidRPr="00EE50F3" w:rsidRDefault="0040248B" w:rsidP="0040248B">
      <w:pPr>
        <w:pStyle w:val="Listenabsatz"/>
        <w:numPr>
          <w:ilvl w:val="0"/>
          <w:numId w:val="4"/>
        </w:numPr>
        <w:spacing w:after="120"/>
      </w:pPr>
      <w:r w:rsidRPr="00EE50F3">
        <w:t>Berechnung von Erwartungswert und Standardabweichung</w:t>
      </w:r>
    </w:p>
    <w:p w14:paraId="082D4B0B" w14:textId="77777777" w:rsidR="0040248B" w:rsidRPr="00EE50F3" w:rsidRDefault="0040248B" w:rsidP="0040248B">
      <w:pPr>
        <w:pStyle w:val="Listenabsatz"/>
        <w:numPr>
          <w:ilvl w:val="0"/>
          <w:numId w:val="4"/>
        </w:numPr>
        <w:spacing w:after="120"/>
      </w:pPr>
      <w:r w:rsidRPr="00EE50F3">
        <w:t>Erstellen und Interpretieren von Histogrammen</w:t>
      </w:r>
    </w:p>
    <w:p w14:paraId="4CA48BBC" w14:textId="77777777" w:rsidR="0040248B" w:rsidRDefault="0066576F" w:rsidP="0090258C">
      <w:pPr>
        <w:spacing w:after="240"/>
        <w:jc w:val="both"/>
        <w:rPr>
          <w:i/>
        </w:rPr>
      </w:pPr>
      <w:r w:rsidRPr="00B94795">
        <w:t>Im dritten Teil soll der Übergang zum Bestimmen von Wahrscheinlichkeiten mittels Flächen angebahnt werden. Hierzu werden bei einer Binomialverteilung die Trefferzahlen zu Intervallen zusammengefasst und dargelegt, dass nun die Fläche der Säule ausschlaggebend ist für die Ermittlung der Wahrscheinlichkeit über einem Intervall.</w:t>
      </w:r>
    </w:p>
    <w:p w14:paraId="5F91819D" w14:textId="03805A4B" w:rsidR="0040248B" w:rsidRDefault="0040248B" w:rsidP="0040248B">
      <w:pPr>
        <w:spacing w:after="240"/>
        <w:rPr>
          <w:b/>
          <w:u w:val="single"/>
        </w:rPr>
      </w:pPr>
      <w:r>
        <w:rPr>
          <w:b/>
          <w:u w:val="single"/>
        </w:rPr>
        <w:t xml:space="preserve">Stunde </w:t>
      </w:r>
      <w:r w:rsidR="00B94795">
        <w:rPr>
          <w:b/>
          <w:u w:val="single"/>
        </w:rPr>
        <w:t>4</w:t>
      </w:r>
      <w:r w:rsidR="00A61426">
        <w:rPr>
          <w:b/>
          <w:u w:val="single"/>
        </w:rPr>
        <w:t xml:space="preserve"> – 5</w:t>
      </w:r>
      <w:r>
        <w:rPr>
          <w:b/>
          <w:u w:val="single"/>
        </w:rPr>
        <w:t xml:space="preserve">: Einführung </w:t>
      </w:r>
      <w:r w:rsidR="00A61426">
        <w:rPr>
          <w:b/>
          <w:u w:val="single"/>
        </w:rPr>
        <w:t xml:space="preserve">und erstes Anwenden </w:t>
      </w:r>
      <w:r>
        <w:rPr>
          <w:b/>
          <w:u w:val="single"/>
        </w:rPr>
        <w:t>der Normalverteilung</w:t>
      </w:r>
      <w:r w:rsidRPr="00EC68EC">
        <w:rPr>
          <w:b/>
          <w:u w:val="single"/>
        </w:rPr>
        <w:t>:</w:t>
      </w:r>
    </w:p>
    <w:p w14:paraId="6C264776" w14:textId="4FDEAF0A" w:rsidR="0040248B" w:rsidRDefault="0040248B" w:rsidP="0040248B">
      <w:pPr>
        <w:spacing w:after="240"/>
        <w:jc w:val="both"/>
      </w:pPr>
      <w:r>
        <w:t xml:space="preserve">In der ersten Phase bearbeiten die Schülerinnen und Schüler in Einzel-oder Partnerarbeit </w:t>
      </w:r>
      <w:r w:rsidRPr="00A61426">
        <w:rPr>
          <w:spacing w:val="-2"/>
        </w:rPr>
        <w:t>den Auftrag „</w:t>
      </w:r>
      <w:proofErr w:type="spellStart"/>
      <w:r w:rsidRPr="00A61426">
        <w:rPr>
          <w:spacing w:val="-2"/>
        </w:rPr>
        <w:t>It’s</w:t>
      </w:r>
      <w:proofErr w:type="spellEnd"/>
      <w:r w:rsidRPr="00A61426">
        <w:rPr>
          <w:spacing w:val="-2"/>
        </w:rPr>
        <w:t xml:space="preserve"> </w:t>
      </w:r>
      <w:proofErr w:type="spellStart"/>
      <w:r w:rsidRPr="00A61426">
        <w:rPr>
          <w:spacing w:val="-2"/>
        </w:rPr>
        <w:t>Teatime</w:t>
      </w:r>
      <w:proofErr w:type="spellEnd"/>
      <w:r w:rsidRPr="00A61426">
        <w:rPr>
          <w:spacing w:val="-2"/>
        </w:rPr>
        <w:t>“ und erfahren so den Übergang von einer diskreten zu einer stetigen</w:t>
      </w:r>
      <w:r w:rsidRPr="00B94795">
        <w:t xml:space="preserve"> Verteilung. Sie lernen die Glockenkurve kennen und bestimmen </w:t>
      </w:r>
      <w:r w:rsidR="00217A77" w:rsidRPr="00B94795">
        <w:t xml:space="preserve">in Aufgabe 3 der Erarbeitungsphase </w:t>
      </w:r>
      <w:r w:rsidRPr="00B94795">
        <w:t>erste Wahrscheinlichkeiten für vorgegebene (Zeit-) Intervalle</w:t>
      </w:r>
      <w:r w:rsidR="00217A77" w:rsidRPr="00B94795">
        <w:t>. Diese Aufgabe ist bewusst offen gestellt, so dass dies</w:t>
      </w:r>
      <w:r w:rsidRPr="00B94795">
        <w:t xml:space="preserve"> entweder anhand der gegebenen (diskreten) Wahrscheinlichkeitsverteilung oder anhand der Fläche unter der Glockenkurve</w:t>
      </w:r>
      <w:r w:rsidR="00217A77" w:rsidRPr="00B94795">
        <w:t xml:space="preserve"> erfolgen kann</w:t>
      </w:r>
      <w:r w:rsidRPr="00B94795">
        <w:t>.</w:t>
      </w:r>
      <w:r w:rsidR="00217A77" w:rsidRPr="00B94795">
        <w:t xml:space="preserve"> Darauf sollte im anschließenden Unterrichtsgespräch eingegangen werden.</w:t>
      </w:r>
      <w:r w:rsidRPr="00B94795">
        <w:t xml:space="preserve"> Au</w:t>
      </w:r>
      <w:r w:rsidR="00217A77" w:rsidRPr="00B94795">
        <w:t>fgabe 4 s</w:t>
      </w:r>
      <w:r w:rsidRPr="00B94795">
        <w:t>ch</w:t>
      </w:r>
      <w:r w:rsidR="00217A77" w:rsidRPr="00B94795">
        <w:t xml:space="preserve">ließlich </w:t>
      </w:r>
      <w:r w:rsidR="00217A77" w:rsidRPr="00A61426">
        <w:rPr>
          <w:spacing w:val="-2"/>
        </w:rPr>
        <w:t xml:space="preserve">sensibilisiert </w:t>
      </w:r>
      <w:r w:rsidRPr="00A61426">
        <w:rPr>
          <w:spacing w:val="-2"/>
        </w:rPr>
        <w:t xml:space="preserve">für die Problematik, dass bei steigen Zufallsgrößen keine singulären </w:t>
      </w:r>
      <w:r w:rsidR="00C3189D" w:rsidRPr="00A61426">
        <w:rPr>
          <w:spacing w:val="-2"/>
        </w:rPr>
        <w:t>(Einzel-)</w:t>
      </w:r>
      <w:r w:rsidR="00C3189D">
        <w:t xml:space="preserve"> </w:t>
      </w:r>
      <w:r>
        <w:t xml:space="preserve">Wahrscheinlichkeiten bestimmt werden können bzw. </w:t>
      </w:r>
      <w:r w:rsidR="00C3189D">
        <w:t xml:space="preserve">diese </w:t>
      </w:r>
      <w:r>
        <w:t>stets den Wert Null annehmen.</w:t>
      </w:r>
    </w:p>
    <w:p w14:paraId="13907B7F" w14:textId="4C8A5A52" w:rsidR="0040248B" w:rsidRDefault="0040248B" w:rsidP="0040248B">
      <w:pPr>
        <w:spacing w:after="240"/>
        <w:jc w:val="both"/>
      </w:pPr>
      <w:r>
        <w:lastRenderedPageBreak/>
        <w:t>In der zweiten Phase werden zunächst die Ergebnisse vorgestellt, diskutiert und gebündelt. Abschließend werden die zentralen Begriffe der Stunde (Normalverteilung, Glockenkurve, stetig und diskret verteilte Zufallsgrößen) eingeführt und die Ergebnisse der Erarbeitungsphase werden gemeinsam im Plenum gesichert, insbesondere auch die Möglichkeit, Wahrscheinlichkeiten als Fläche unter der Glockenkurve zu veranschaulichen bzw. zu bestimmen.</w:t>
      </w:r>
    </w:p>
    <w:p w14:paraId="28DE73E8" w14:textId="77777777" w:rsidR="0040248B" w:rsidRDefault="0040248B" w:rsidP="0040248B">
      <w:pPr>
        <w:spacing w:after="240"/>
        <w:jc w:val="both"/>
      </w:pPr>
      <w:r>
        <w:t xml:space="preserve">Das neu Erarbeitete wird in der dritten Phase anhand einer Aufgabe eingeübt und vertieft. </w:t>
      </w:r>
      <w:r w:rsidR="00C41F20" w:rsidRPr="0081782D">
        <w:t xml:space="preserve">Den </w:t>
      </w:r>
      <w:r w:rsidRPr="0081782D">
        <w:t>Abschluss d</w:t>
      </w:r>
      <w:r w:rsidR="00DB51EC" w:rsidRPr="0081782D">
        <w:t>ies</w:t>
      </w:r>
      <w:r w:rsidRPr="0081782D">
        <w:t>e</w:t>
      </w:r>
      <w:r w:rsidR="00C41F20" w:rsidRPr="0081782D">
        <w:t>r</w:t>
      </w:r>
      <w:r w:rsidRPr="0081782D">
        <w:t xml:space="preserve"> Übungs</w:t>
      </w:r>
      <w:r w:rsidR="00C41F20" w:rsidRPr="0081782D">
        <w:t xml:space="preserve">phase bildet eine aus dem gleichen Sachkontext stammende Teilaufgabe, welche die </w:t>
      </w:r>
      <w:r w:rsidRPr="0081782D">
        <w:t>A</w:t>
      </w:r>
      <w:r w:rsidR="00C41F20" w:rsidRPr="0081782D">
        <w:t>nwendung der Binomialverteilung erfordert.</w:t>
      </w:r>
    </w:p>
    <w:p w14:paraId="276A7596" w14:textId="1211DD2F" w:rsidR="00F53949" w:rsidRPr="0081782D" w:rsidRDefault="006243C7" w:rsidP="00F53949">
      <w:pPr>
        <w:spacing w:after="240"/>
      </w:pPr>
      <w:r w:rsidRPr="0081782D">
        <w:t>Nach d</w:t>
      </w:r>
      <w:r w:rsidR="00C9651E">
        <w:t>ies</w:t>
      </w:r>
      <w:r w:rsidRPr="0081782D">
        <w:t xml:space="preserve">er Einführung </w:t>
      </w:r>
      <w:r w:rsidR="00C9651E">
        <w:t xml:space="preserve">folgt nun eine </w:t>
      </w:r>
      <w:r w:rsidRPr="0081782D">
        <w:t>Übungs</w:t>
      </w:r>
      <w:r w:rsidR="00C9651E">
        <w:t xml:space="preserve">phase </w:t>
      </w:r>
      <w:r w:rsidRPr="0081782D">
        <w:t>zu folgenden Aufgabentypen</w:t>
      </w:r>
      <w:r w:rsidR="00F53949" w:rsidRPr="0081782D">
        <w:t xml:space="preserve">: </w:t>
      </w:r>
    </w:p>
    <w:p w14:paraId="3A2DD1E3" w14:textId="7B3C1628" w:rsidR="006243C7" w:rsidRPr="0081782D" w:rsidRDefault="006243C7" w:rsidP="00F53949">
      <w:pPr>
        <w:pStyle w:val="Listenabsatz"/>
        <w:numPr>
          <w:ilvl w:val="0"/>
          <w:numId w:val="4"/>
        </w:numPr>
        <w:spacing w:after="120"/>
      </w:pPr>
      <w:r w:rsidRPr="0081782D">
        <w:t>Abgrenzung binomial</w:t>
      </w:r>
      <w:r w:rsidR="007F1069">
        <w:t>-</w:t>
      </w:r>
      <w:r w:rsidRPr="0081782D">
        <w:t xml:space="preserve"> / normalverteilte Zufallsgrößen</w:t>
      </w:r>
    </w:p>
    <w:p w14:paraId="0AD9B581" w14:textId="77777777" w:rsidR="00A64A76" w:rsidRPr="0081782D" w:rsidRDefault="00A64A76" w:rsidP="00F53949">
      <w:pPr>
        <w:pStyle w:val="Listenabsatz"/>
        <w:numPr>
          <w:ilvl w:val="0"/>
          <w:numId w:val="4"/>
        </w:numPr>
        <w:spacing w:after="120"/>
      </w:pPr>
      <w:r w:rsidRPr="0081782D">
        <w:t xml:space="preserve">Skizzieren der Glockenkurve eines annähernd normalverteilten Datensatzes </w:t>
      </w:r>
    </w:p>
    <w:p w14:paraId="5D14C6A4" w14:textId="77777777" w:rsidR="00A64A76" w:rsidRDefault="00A64A76" w:rsidP="00386D5B">
      <w:pPr>
        <w:pStyle w:val="Listenabsatz"/>
        <w:numPr>
          <w:ilvl w:val="0"/>
          <w:numId w:val="4"/>
        </w:numPr>
        <w:spacing w:after="240"/>
        <w:ind w:left="714" w:hanging="357"/>
      </w:pPr>
      <w:r w:rsidRPr="0081782D">
        <w:t xml:space="preserve">Näherungsweises Bestimmen von Wahrscheinlichkeiten durch </w:t>
      </w:r>
      <w:r w:rsidR="006243C7" w:rsidRPr="0081782D">
        <w:t>Ab</w:t>
      </w:r>
      <w:r w:rsidRPr="0081782D">
        <w:t>schätzen des Flächeninhalts unter einer Glockenkurve</w:t>
      </w:r>
    </w:p>
    <w:p w14:paraId="525F200D" w14:textId="749771AD" w:rsidR="00C9651E" w:rsidRPr="0081782D" w:rsidRDefault="00C9651E" w:rsidP="00386D5B">
      <w:pPr>
        <w:pStyle w:val="Listenabsatz"/>
        <w:numPr>
          <w:ilvl w:val="0"/>
          <w:numId w:val="4"/>
        </w:numPr>
        <w:spacing w:after="240"/>
        <w:ind w:left="714" w:hanging="357"/>
      </w:pPr>
      <w:r>
        <w:t>Ggf. erster Einsatz des WTR zur Berechnung von Wahrscheinlichkeiten bei normalverteilten Zufallsgrößen</w:t>
      </w:r>
    </w:p>
    <w:p w14:paraId="011564F0" w14:textId="77777777" w:rsidR="0040248B" w:rsidRDefault="0040248B" w:rsidP="0040248B">
      <w:pPr>
        <w:spacing w:after="240"/>
        <w:rPr>
          <w:b/>
          <w:u w:val="single"/>
        </w:rPr>
      </w:pPr>
      <w:r>
        <w:rPr>
          <w:b/>
          <w:u w:val="single"/>
        </w:rPr>
        <w:t xml:space="preserve">Stunde </w:t>
      </w:r>
      <w:r w:rsidR="00B94795">
        <w:rPr>
          <w:b/>
          <w:u w:val="single"/>
        </w:rPr>
        <w:t>6</w:t>
      </w:r>
      <w:r>
        <w:rPr>
          <w:b/>
          <w:u w:val="single"/>
        </w:rPr>
        <w:t>: Einfluss der Kenngrößen auf die Form der Glockenkurve</w:t>
      </w:r>
    </w:p>
    <w:p w14:paraId="2CCDF91F" w14:textId="77777777" w:rsidR="0040248B" w:rsidRDefault="0040248B" w:rsidP="0040248B">
      <w:pPr>
        <w:spacing w:after="240"/>
        <w:jc w:val="both"/>
      </w:pPr>
      <w:r>
        <w:t>Haben die Schülerinnen und Schüler in der vorangegangenen Stunde die Bedeutung der Glockenkurve zum Ermitteln von Wahrscheinlichkeiten bei normalverteilten Zufallsgrößen erfahren, so sollen sie im nächsten Schritt in die Lage versetzt werden, die Glockenkurve anhand der Kenngrößen Erwartungswert und Standardabweichung zu skizzieren.</w:t>
      </w:r>
    </w:p>
    <w:p w14:paraId="74DADAFF" w14:textId="70F0FDA5" w:rsidR="0040248B" w:rsidRDefault="0040248B" w:rsidP="0040248B">
      <w:pPr>
        <w:spacing w:after="240"/>
        <w:jc w:val="both"/>
      </w:pPr>
      <w:r>
        <w:t>In der Erarbeitungsphase ergänzen die Schülerinnen und Schüler in Einzel-</w:t>
      </w:r>
      <w:r w:rsidR="00C9651E">
        <w:t xml:space="preserve"> </w:t>
      </w:r>
      <w:r>
        <w:t xml:space="preserve">oder Partnerarbeit einen Lückentext, in dem der </w:t>
      </w:r>
      <w:r w:rsidRPr="00D4108C">
        <w:t xml:space="preserve">Einfluss der Kenngrößen </w:t>
      </w:r>
      <w:r>
        <w:t xml:space="preserve">einer Normalverteilung </w:t>
      </w:r>
      <w:r w:rsidRPr="00D4108C">
        <w:t xml:space="preserve">auf die Form der Glockenkurve </w:t>
      </w:r>
      <w:r>
        <w:t xml:space="preserve">zusammengefasst wird. Sie entdecken die Zusammenhänge anhand von sechs Paaren, bei denen in der grundlegenden Version Glockenkurven einer Reihe von Kenngrößen zugeordnet sind. Zur Differenzierung kann auch noch eine Version auf erweitertem Niveau angeboten werden. Hier sind den Kenngrößen und Glockenkurven noch zusätzlich die Funktionsgleichungen zugeordnet. In beiden Versionen werden die Schülerinnen und Schüler auch aufgefordert, insbesondere den </w:t>
      </w:r>
      <w:r w:rsidRPr="007F1069">
        <w:t xml:space="preserve">Bereich </w:t>
      </w:r>
      <m:oMath>
        <m:d>
          <m:dPr>
            <m:begChr m:val="["/>
            <m:endChr m:val="]"/>
            <m:ctrlPr>
              <w:rPr>
                <w:rFonts w:ascii="Cambria Math" w:hAnsi="Cambria Math"/>
              </w:rPr>
            </m:ctrlPr>
          </m:dPr>
          <m:e>
            <m:r>
              <m:rPr>
                <m:sty m:val="p"/>
              </m:rPr>
              <w:rPr>
                <w:rFonts w:ascii="Cambria Math" w:hAnsi="Cambria Math"/>
              </w:rPr>
              <m:t>μ-σ;μ+σ</m:t>
            </m:r>
          </m:e>
        </m:d>
      </m:oMath>
      <w:r w:rsidRPr="007F1069">
        <w:rPr>
          <w:sz w:val="24"/>
        </w:rPr>
        <w:t xml:space="preserve"> </w:t>
      </w:r>
      <w:r w:rsidRPr="007F1069">
        <w:t>zu</w:t>
      </w:r>
      <w:r w:rsidRPr="00ED379F">
        <w:t xml:space="preserve"> betrachten</w:t>
      </w:r>
      <w:r>
        <w:t>, so kann ggf. auf die 1</w:t>
      </w:r>
      <w:r w:rsidR="00B94795">
        <w:t>-Sigma-</w:t>
      </w:r>
      <w:r>
        <w:t>Regel eingegangen werden.</w:t>
      </w:r>
    </w:p>
    <w:p w14:paraId="0B1071F2" w14:textId="77777777" w:rsidR="0040248B" w:rsidRDefault="0040248B" w:rsidP="00B94795">
      <w:pPr>
        <w:spacing w:after="120"/>
        <w:jc w:val="both"/>
      </w:pPr>
      <w:r>
        <w:t xml:space="preserve">In der Übungsphase bearbeiten die Schülerinnen und Schüler </w:t>
      </w:r>
      <w:r w:rsidRPr="00DE4380">
        <w:t xml:space="preserve">Aufgaben zum </w:t>
      </w:r>
    </w:p>
    <w:p w14:paraId="10F0122E" w14:textId="77777777" w:rsidR="0040248B" w:rsidRDefault="0040248B" w:rsidP="0040248B">
      <w:pPr>
        <w:pStyle w:val="Listenabsatz"/>
        <w:numPr>
          <w:ilvl w:val="0"/>
          <w:numId w:val="5"/>
        </w:numPr>
        <w:spacing w:after="240"/>
        <w:jc w:val="both"/>
      </w:pPr>
      <w:r w:rsidRPr="00DE4380">
        <w:t>Ablesen von Erwartungswert und Standardabweichung aus Glockenkurven</w:t>
      </w:r>
    </w:p>
    <w:p w14:paraId="64F62A34" w14:textId="77777777" w:rsidR="0040248B" w:rsidRDefault="0040248B" w:rsidP="0040248B">
      <w:pPr>
        <w:pStyle w:val="Listenabsatz"/>
        <w:numPr>
          <w:ilvl w:val="0"/>
          <w:numId w:val="5"/>
        </w:numPr>
        <w:spacing w:after="240"/>
        <w:jc w:val="both"/>
      </w:pPr>
      <w:r>
        <w:t>Beschreiben von Auswirkungen der Variation jeweils eines Parameters (</w:t>
      </w:r>
      <w:r w:rsidRPr="00DE4380">
        <w:t xml:space="preserve">μ  </w:t>
      </w:r>
      <w:r>
        <w:t xml:space="preserve">bzw.  </w:t>
      </w:r>
      <w:r w:rsidRPr="00DE4380">
        <w:t>σ</w:t>
      </w:r>
      <w:r>
        <w:t>) auf die Lage/Form</w:t>
      </w:r>
      <w:r w:rsidRPr="00DE4380">
        <w:t xml:space="preserve"> </w:t>
      </w:r>
      <w:r>
        <w:t>der Glockenkurve</w:t>
      </w:r>
    </w:p>
    <w:p w14:paraId="52BDEF45" w14:textId="77777777" w:rsidR="0040248B" w:rsidRDefault="0040248B" w:rsidP="0040248B">
      <w:pPr>
        <w:pStyle w:val="Listenabsatz"/>
        <w:numPr>
          <w:ilvl w:val="0"/>
          <w:numId w:val="5"/>
        </w:numPr>
        <w:spacing w:after="240"/>
        <w:jc w:val="both"/>
      </w:pPr>
      <w:r>
        <w:t>Skizzieren von Glockenkurven bei gegebenen Kenngrößen</w:t>
      </w:r>
    </w:p>
    <w:p w14:paraId="5B9116DC" w14:textId="683F9042" w:rsidR="0040248B" w:rsidRDefault="0040248B" w:rsidP="00C9651E">
      <w:pPr>
        <w:pStyle w:val="Listenabsatz"/>
        <w:spacing w:after="240"/>
      </w:pPr>
      <w:r>
        <w:t xml:space="preserve">Hinweis: Der y-Wert des Hochpunkts kann mithilfe des WTR ermittelt werden </w:t>
      </w:r>
      <w:r w:rsidR="00C9651E">
        <w:br/>
      </w:r>
      <w:r>
        <w:t>(</w:t>
      </w:r>
      <w:r w:rsidRPr="00FC4762">
        <w:t>CASIO</w:t>
      </w:r>
      <w:r w:rsidRPr="00FC4762">
        <w:rPr>
          <w:i/>
        </w:rPr>
        <w:t xml:space="preserve">: Normal-Dichte; </w:t>
      </w:r>
      <w:r w:rsidRPr="00FC4762">
        <w:t>TI</w:t>
      </w:r>
      <w:r w:rsidRPr="00FC4762">
        <w:rPr>
          <w:i/>
        </w:rPr>
        <w:t xml:space="preserve">: </w:t>
      </w:r>
      <w:proofErr w:type="spellStart"/>
      <w:r w:rsidRPr="00FC4762">
        <w:rPr>
          <w:i/>
        </w:rPr>
        <w:t>Normalpdf</w:t>
      </w:r>
      <w:proofErr w:type="spellEnd"/>
      <w:r>
        <w:t>)</w:t>
      </w:r>
    </w:p>
    <w:p w14:paraId="6CCA22D7" w14:textId="18322888" w:rsidR="00C9651E" w:rsidRDefault="00A64A76" w:rsidP="00C9651E">
      <w:pPr>
        <w:spacing w:after="0"/>
        <w:jc w:val="both"/>
      </w:pPr>
      <w:r w:rsidRPr="0081782D">
        <w:t>Je nach Bedarf und individueller Schwerpunktsetzung kann bereits in dieser Stunde das Berechnen von Wahrscheinlichkeiten mithilfe des WTR erfolgen</w:t>
      </w:r>
      <w:r w:rsidR="003065EE">
        <w:t>.</w:t>
      </w:r>
      <w:r w:rsidRPr="0081782D">
        <w:t xml:space="preserve"> </w:t>
      </w:r>
    </w:p>
    <w:p w14:paraId="6826EC3B" w14:textId="62A2C51C" w:rsidR="00A64A76" w:rsidRDefault="00A64A76" w:rsidP="00A64A76">
      <w:pPr>
        <w:spacing w:after="240"/>
        <w:jc w:val="both"/>
      </w:pPr>
      <w:r w:rsidRPr="00C9651E">
        <w:rPr>
          <w:sz w:val="18"/>
        </w:rPr>
        <w:t xml:space="preserve">s. hierzu: </w:t>
      </w:r>
      <w:r w:rsidR="00C9651E" w:rsidRPr="00C9651E">
        <w:rPr>
          <w:i/>
          <w:sz w:val="18"/>
        </w:rPr>
        <w:t>sto1_08_h</w:t>
      </w:r>
      <w:r w:rsidRPr="00C9651E">
        <w:rPr>
          <w:i/>
          <w:sz w:val="18"/>
        </w:rPr>
        <w:t>inweise</w:t>
      </w:r>
      <w:r w:rsidR="00C9651E" w:rsidRPr="00C9651E">
        <w:rPr>
          <w:i/>
          <w:sz w:val="18"/>
        </w:rPr>
        <w:t>_</w:t>
      </w:r>
      <w:r w:rsidRPr="00C9651E">
        <w:rPr>
          <w:i/>
          <w:sz w:val="18"/>
        </w:rPr>
        <w:t>zum</w:t>
      </w:r>
      <w:r w:rsidR="00C9651E" w:rsidRPr="00C9651E">
        <w:rPr>
          <w:i/>
          <w:sz w:val="18"/>
        </w:rPr>
        <w:t>_wtr_e</w:t>
      </w:r>
      <w:r w:rsidRPr="00C9651E">
        <w:rPr>
          <w:i/>
          <w:sz w:val="18"/>
        </w:rPr>
        <w:t>insatz</w:t>
      </w:r>
      <w:r w:rsidR="00C9651E" w:rsidRPr="00C9651E">
        <w:rPr>
          <w:i/>
          <w:sz w:val="18"/>
        </w:rPr>
        <w:t>_casio.pdf bzw. sto1_09_hinweise_zum_wtr_einsatz_ti.pdf</w:t>
      </w:r>
    </w:p>
    <w:p w14:paraId="70684E52" w14:textId="77777777" w:rsidR="003065EE" w:rsidRDefault="003065EE" w:rsidP="0040248B">
      <w:pPr>
        <w:spacing w:after="240"/>
        <w:rPr>
          <w:b/>
          <w:u w:val="single"/>
        </w:rPr>
      </w:pPr>
    </w:p>
    <w:p w14:paraId="38418C5E" w14:textId="77777777" w:rsidR="0040248B" w:rsidRDefault="0040248B" w:rsidP="0040248B">
      <w:pPr>
        <w:spacing w:after="240"/>
        <w:rPr>
          <w:b/>
          <w:u w:val="single"/>
        </w:rPr>
      </w:pPr>
      <w:r>
        <w:rPr>
          <w:b/>
          <w:u w:val="single"/>
        </w:rPr>
        <w:lastRenderedPageBreak/>
        <w:t xml:space="preserve">Stunde </w:t>
      </w:r>
      <w:r w:rsidR="00B94795">
        <w:rPr>
          <w:b/>
          <w:u w:val="single"/>
        </w:rPr>
        <w:t>7</w:t>
      </w:r>
      <w:r>
        <w:rPr>
          <w:b/>
          <w:u w:val="single"/>
        </w:rPr>
        <w:t>: Ermitteln der Kenngrößen aus Datensätzen</w:t>
      </w:r>
    </w:p>
    <w:p w14:paraId="6AFEAC0C" w14:textId="77777777" w:rsidR="003065EE" w:rsidRDefault="0040248B" w:rsidP="003065EE">
      <w:pPr>
        <w:spacing w:after="0"/>
        <w:jc w:val="both"/>
      </w:pPr>
      <w:r>
        <w:t>Im letzten Schritt geht es nun darum, die Kenngrößen Erwartungswert und Standardabweichung selbst zu ermitteln. Um hier den WTR nicht vollständig als „Blackbox“ zu verwenden, kann dies exemplarisch an einem überschaubaren Datensatz anhand der Definition erfolgen, in der Regel sollte hierfür aber der WTR als Hilfsmittel eingesetzt werden.</w:t>
      </w:r>
    </w:p>
    <w:p w14:paraId="7D20299B" w14:textId="77777777" w:rsidR="003065EE" w:rsidRDefault="003065EE" w:rsidP="003065EE">
      <w:pPr>
        <w:spacing w:after="240"/>
        <w:jc w:val="both"/>
      </w:pPr>
      <w:r w:rsidRPr="00C9651E">
        <w:rPr>
          <w:sz w:val="18"/>
        </w:rPr>
        <w:t xml:space="preserve">s. hierzu: </w:t>
      </w:r>
      <w:r w:rsidRPr="00C9651E">
        <w:rPr>
          <w:i/>
          <w:sz w:val="18"/>
        </w:rPr>
        <w:t>sto1_08_hinweise_zum_wtr_einsatz_casio.pdf bzw. sto1_09_hinweise_zum_wtr_einsatz_ti.pdf</w:t>
      </w:r>
    </w:p>
    <w:p w14:paraId="783FAF75" w14:textId="77777777" w:rsidR="00C10BD2" w:rsidRDefault="0040248B" w:rsidP="0040248B">
      <w:pPr>
        <w:spacing w:after="240"/>
        <w:jc w:val="both"/>
      </w:pPr>
      <w:r>
        <w:t>Als Arbeitsform eignet sich die Planarbeit, da so die individuellen Vorerfahrungen und Fertigkeiten der Schülerinnen und Schüler in Bezug auf Algebra und Umgang mit dem WTR berücksichtigt werden können und ein Arbeiten im eigenen Tempo möglich ist.</w:t>
      </w:r>
    </w:p>
    <w:p w14:paraId="3E3B121E" w14:textId="77777777" w:rsidR="00B32C62" w:rsidRPr="0081782D" w:rsidRDefault="00B32C62" w:rsidP="00B32C62">
      <w:pPr>
        <w:spacing w:after="240"/>
        <w:rPr>
          <w:b/>
          <w:u w:val="single"/>
        </w:rPr>
      </w:pPr>
      <w:r w:rsidRPr="0081782D">
        <w:rPr>
          <w:b/>
          <w:u w:val="single"/>
        </w:rPr>
        <w:t xml:space="preserve">Stunde </w:t>
      </w:r>
      <w:r w:rsidR="00B94795">
        <w:rPr>
          <w:b/>
          <w:u w:val="single"/>
        </w:rPr>
        <w:t>8</w:t>
      </w:r>
      <w:r w:rsidRPr="0081782D">
        <w:rPr>
          <w:b/>
          <w:u w:val="single"/>
        </w:rPr>
        <w:t xml:space="preserve"> – </w:t>
      </w:r>
      <w:r w:rsidR="0081782D">
        <w:rPr>
          <w:b/>
          <w:u w:val="single"/>
        </w:rPr>
        <w:t>9</w:t>
      </w:r>
      <w:r w:rsidRPr="0081782D">
        <w:rPr>
          <w:b/>
          <w:u w:val="single"/>
        </w:rPr>
        <w:t>: Untersuchung annähernd normalverteilter Zufallsgrößen</w:t>
      </w:r>
    </w:p>
    <w:p w14:paraId="7B32D10D" w14:textId="35A9EAFA" w:rsidR="00A64A76" w:rsidRDefault="00B32C62" w:rsidP="003065EE">
      <w:pPr>
        <w:spacing w:after="0"/>
        <w:jc w:val="both"/>
      </w:pPr>
      <w:r w:rsidRPr="0081782D">
        <w:t xml:space="preserve">Die Schülerinnen und Schüler verfügen nun über sämtliche Grundlagen, um </w:t>
      </w:r>
      <w:r w:rsidR="00210065" w:rsidRPr="0081782D">
        <w:t xml:space="preserve">anwendungsbezogene Problemstellungen im Kontext normalverteilter Zufallsgrößen zu lösen. Spätestens zu Beginn dieser abschließenden Übungsphase sollte das Berechnen von Wahrscheinlichkeiten </w:t>
      </w:r>
      <w:r w:rsidR="003065EE">
        <w:t>auch mithilfe des WTR erfolgen</w:t>
      </w:r>
      <w:r w:rsidR="00210065" w:rsidRPr="0081782D">
        <w:t>.</w:t>
      </w:r>
    </w:p>
    <w:p w14:paraId="6911F170" w14:textId="77777777" w:rsidR="003065EE" w:rsidRDefault="003065EE" w:rsidP="003065EE">
      <w:pPr>
        <w:spacing w:after="240"/>
        <w:jc w:val="both"/>
      </w:pPr>
      <w:r w:rsidRPr="00C9651E">
        <w:rPr>
          <w:sz w:val="18"/>
        </w:rPr>
        <w:t xml:space="preserve">s. hierzu: </w:t>
      </w:r>
      <w:r w:rsidRPr="00C9651E">
        <w:rPr>
          <w:i/>
          <w:sz w:val="18"/>
        </w:rPr>
        <w:t>sto1_08_hinweise_zum_wtr_einsatz_casio.pdf bzw. sto1_09_hinweise_zum_wtr_einsatz_ti.pdf</w:t>
      </w:r>
    </w:p>
    <w:p w14:paraId="678ADCDA" w14:textId="58D85A87" w:rsidR="00E21A11" w:rsidRDefault="00E21A11" w:rsidP="00E21A11">
      <w:pPr>
        <w:spacing w:after="0"/>
        <w:jc w:val="both"/>
      </w:pPr>
      <w:r>
        <w:t xml:space="preserve">Bei der Übungsaufgabe „Schuhgrößen“ bietet sich auch eine Erhebung im eigenen Kurs an, um so z.B. </w:t>
      </w:r>
      <w:r w:rsidR="003065EE">
        <w:t>a</w:t>
      </w:r>
      <w:r>
        <w:t>u</w:t>
      </w:r>
      <w:r w:rsidR="003065EE">
        <w:t>f Streuung und Stichprobenumfang einzugehen</w:t>
      </w:r>
      <w:r>
        <w:t xml:space="preserve">. </w:t>
      </w:r>
    </w:p>
    <w:p w14:paraId="55477E39" w14:textId="7F15DA0F" w:rsidR="00E21A11" w:rsidRPr="0081782D" w:rsidRDefault="00E21A11" w:rsidP="0040248B">
      <w:pPr>
        <w:spacing w:after="240"/>
        <w:jc w:val="both"/>
      </w:pPr>
      <w:r>
        <w:t xml:space="preserve">Es kann auch der Erwartungswert (Mittelwert) und die Standardabweichung der </w:t>
      </w:r>
      <w:r w:rsidR="003065EE">
        <w:t xml:space="preserve">verhältnismäßig </w:t>
      </w:r>
      <w:r>
        <w:t xml:space="preserve">kleinen Stichprobe „unser Kurs“ ermittelt werden und mit den gegebenen Werten vergleichen werden. </w:t>
      </w:r>
    </w:p>
    <w:p w14:paraId="32C2212E" w14:textId="77777777" w:rsidR="0081782D" w:rsidRPr="0081782D" w:rsidRDefault="0081782D" w:rsidP="0081782D">
      <w:pPr>
        <w:spacing w:after="240"/>
        <w:rPr>
          <w:b/>
          <w:u w:val="single"/>
        </w:rPr>
      </w:pPr>
      <w:r w:rsidRPr="0081782D">
        <w:rPr>
          <w:b/>
          <w:u w:val="single"/>
        </w:rPr>
        <w:t xml:space="preserve">Stunde </w:t>
      </w:r>
      <w:r>
        <w:rPr>
          <w:b/>
          <w:u w:val="single"/>
        </w:rPr>
        <w:t>10</w:t>
      </w:r>
      <w:r w:rsidRPr="0081782D">
        <w:rPr>
          <w:b/>
          <w:u w:val="single"/>
        </w:rPr>
        <w:t xml:space="preserve"> – 11: </w:t>
      </w:r>
      <w:r>
        <w:rPr>
          <w:b/>
          <w:u w:val="single"/>
        </w:rPr>
        <w:t>K</w:t>
      </w:r>
      <w:r w:rsidRPr="0081782D">
        <w:rPr>
          <w:b/>
          <w:u w:val="single"/>
        </w:rPr>
        <w:t>omplexere Übu</w:t>
      </w:r>
      <w:r>
        <w:rPr>
          <w:b/>
          <w:u w:val="single"/>
        </w:rPr>
        <w:t>ngen oder mögliche Vertiefungen</w:t>
      </w:r>
    </w:p>
    <w:p w14:paraId="5C7FBEB2" w14:textId="77777777" w:rsidR="00B83A5B" w:rsidRDefault="0081782D" w:rsidP="0081782D">
      <w:pPr>
        <w:spacing w:after="240"/>
        <w:jc w:val="both"/>
      </w:pPr>
      <w:r>
        <w:t xml:space="preserve">Komplexere Übungen stellen z.B. </w:t>
      </w:r>
      <w:r w:rsidRPr="0081782D">
        <w:t xml:space="preserve">anwendungsbezogene Problemstellungen </w:t>
      </w:r>
      <w:r>
        <w:t>dar, für deren Lösung sowohl die Binomial- als auch die N</w:t>
      </w:r>
      <w:r w:rsidRPr="0081782D">
        <w:t>ormalverteil</w:t>
      </w:r>
      <w:r w:rsidR="00B83A5B">
        <w:t xml:space="preserve">ung zur Modellierung herangezogen werden. </w:t>
      </w:r>
    </w:p>
    <w:p w14:paraId="0A5646FE" w14:textId="44418963" w:rsidR="00E21A11" w:rsidRDefault="00E21A11" w:rsidP="00FC4762">
      <w:pPr>
        <w:spacing w:after="240"/>
        <w:jc w:val="both"/>
      </w:pPr>
      <w:r>
        <w:t>Bei der Übungsaufgabe „Körpergrößen“ bietet sich wieder eine Erhebung im eigenen Kurs an, allerdings sollte im Falle auffällig großer oder auffällig kleiner Schüler oder Schülerinnen sensibel vorgegangen werden.</w:t>
      </w:r>
    </w:p>
    <w:p w14:paraId="2AEE35DF" w14:textId="33E980E7" w:rsidR="00B83A5B" w:rsidRDefault="00B83A5B" w:rsidP="0081782D">
      <w:pPr>
        <w:spacing w:after="240"/>
        <w:jc w:val="both"/>
      </w:pPr>
      <w:r>
        <w:t xml:space="preserve">Als mögliche Vertiefung </w:t>
      </w:r>
      <w:r w:rsidR="003065EE">
        <w:t>eignet</w:t>
      </w:r>
      <w:r>
        <w:t xml:space="preserve"> sich die Herleitung und Anwendung der </w:t>
      </w:r>
      <w:r w:rsidR="00B94795">
        <w:t>Sigma</w:t>
      </w:r>
      <w:r>
        <w:t>-Regeln.</w:t>
      </w:r>
    </w:p>
    <w:sectPr w:rsidR="00B83A5B" w:rsidSect="00E50CF3">
      <w:headerReference w:type="default" r:id="rId14"/>
      <w:footerReference w:type="default" r:id="rId15"/>
      <w:pgSz w:w="11906" w:h="16838"/>
      <w:pgMar w:top="992"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10B0" w14:textId="77777777" w:rsidR="008B66DD" w:rsidRDefault="008B66DD">
      <w:pPr>
        <w:spacing w:after="0" w:line="240" w:lineRule="auto"/>
      </w:pPr>
      <w:r>
        <w:separator/>
      </w:r>
    </w:p>
  </w:endnote>
  <w:endnote w:type="continuationSeparator" w:id="0">
    <w:p w14:paraId="0F2B71B5" w14:textId="77777777" w:rsidR="008B66DD" w:rsidRDefault="008B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1A94" w14:textId="18792187" w:rsidR="004734C2" w:rsidRPr="004734C2" w:rsidRDefault="004734C2">
    <w:pPr>
      <w:pStyle w:val="Fuzeile"/>
      <w:rPr>
        <w:sz w:val="20"/>
      </w:rPr>
    </w:pPr>
    <w:r>
      <w:rPr>
        <w:sz w:val="20"/>
      </w:rPr>
      <w:t>Groß-Schmitt</w:t>
    </w:r>
    <w:r w:rsidR="00BD6E96">
      <w:rPr>
        <w:sz w:val="20"/>
      </w:rPr>
      <w:t>,</w:t>
    </w:r>
    <w:r>
      <w:rPr>
        <w:sz w:val="20"/>
      </w:rPr>
      <w:t xml:space="preserve">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FC4762">
      <w:rPr>
        <w:noProof/>
        <w:sz w:val="20"/>
      </w:rPr>
      <w:t>1</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FC4762">
      <w:rPr>
        <w:noProof/>
        <w:sz w:val="20"/>
      </w:rPr>
      <w:t>6</w:t>
    </w:r>
    <w:r w:rsidRPr="002C01EA">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DC0E" w14:textId="77777777" w:rsidR="00BD6E96" w:rsidRPr="004734C2" w:rsidRDefault="00BD6E96" w:rsidP="00BD6E96">
    <w:pPr>
      <w:pStyle w:val="Fuzeile"/>
      <w:tabs>
        <w:tab w:val="clear" w:pos="4536"/>
        <w:tab w:val="clear" w:pos="9072"/>
        <w:tab w:val="center" w:pos="6946"/>
        <w:tab w:val="right" w:pos="14287"/>
      </w:tabs>
      <w:rPr>
        <w:sz w:val="20"/>
      </w:rPr>
    </w:pPr>
    <w:r>
      <w:rPr>
        <w:sz w:val="20"/>
      </w:rPr>
      <w:t>Groß-Schmitt,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FC4762">
      <w:rPr>
        <w:noProof/>
        <w:sz w:val="20"/>
      </w:rPr>
      <w:t>2</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FC4762">
      <w:rPr>
        <w:noProof/>
        <w:sz w:val="20"/>
      </w:rPr>
      <w:t>6</w:t>
    </w:r>
    <w:r w:rsidRPr="002C01EA">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C81D" w14:textId="77777777" w:rsidR="00BD6E96" w:rsidRPr="004734C2" w:rsidRDefault="00BD6E96">
    <w:pPr>
      <w:pStyle w:val="Fuzeile"/>
      <w:rPr>
        <w:sz w:val="20"/>
      </w:rPr>
    </w:pPr>
    <w:r>
      <w:rPr>
        <w:sz w:val="20"/>
      </w:rPr>
      <w:t>Groß-Schmitt,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FC4762">
      <w:rPr>
        <w:noProof/>
        <w:sz w:val="20"/>
      </w:rPr>
      <w:t>4</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FC4762">
      <w:rPr>
        <w:noProof/>
        <w:sz w:val="20"/>
      </w:rPr>
      <w:t>6</w:t>
    </w:r>
    <w:r w:rsidRPr="002C01E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65E0" w14:textId="77777777" w:rsidR="008B66DD" w:rsidRDefault="008B66DD">
      <w:pPr>
        <w:spacing w:after="0" w:line="240" w:lineRule="auto"/>
      </w:pPr>
      <w:r>
        <w:separator/>
      </w:r>
    </w:p>
  </w:footnote>
  <w:footnote w:type="continuationSeparator" w:id="0">
    <w:p w14:paraId="6374A36A" w14:textId="77777777" w:rsidR="008B66DD" w:rsidRDefault="008B66DD">
      <w:pPr>
        <w:spacing w:after="0" w:line="240" w:lineRule="auto"/>
      </w:pPr>
      <w:r>
        <w:continuationSeparator/>
      </w:r>
    </w:p>
  </w:footnote>
  <w:footnote w:id="1">
    <w:p w14:paraId="7988313E" w14:textId="77777777" w:rsidR="005044E0" w:rsidRDefault="005044E0" w:rsidP="00E50CF3">
      <w:pPr>
        <w:pStyle w:val="Funotentext"/>
        <w:spacing w:after="240"/>
      </w:pPr>
      <w:r>
        <w:rPr>
          <w:rStyle w:val="Funotenzeichen"/>
        </w:rPr>
        <w:footnoteRef/>
      </w:r>
      <w:r>
        <w:t xml:space="preserve"> Bildungsplan 2016, Mathematik – Ergänzung Basisfach Oberstufe</w:t>
      </w:r>
      <w:r w:rsidR="00826310">
        <w:t xml:space="preserve"> (Stand 20.11.2018)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A7D9" w14:textId="3EF0BBF8" w:rsidR="000B1F83" w:rsidRPr="00A37239" w:rsidRDefault="0040248B" w:rsidP="00325947">
    <w:pPr>
      <w:pStyle w:val="Kopfzeile"/>
      <w:tabs>
        <w:tab w:val="clear" w:pos="9072"/>
        <w:tab w:val="right" w:pos="9070"/>
      </w:tabs>
      <w:rPr>
        <w:sz w:val="20"/>
        <w:szCs w:val="20"/>
      </w:rPr>
    </w:pPr>
    <w:r w:rsidRPr="00294AF0">
      <w:rPr>
        <w:noProof/>
        <w:sz w:val="20"/>
        <w:szCs w:val="20"/>
      </w:rPr>
      <w:drawing>
        <wp:anchor distT="0" distB="0" distL="114300" distR="114300" simplePos="0" relativeHeight="251655168" behindDoc="1" locked="0" layoutInCell="1" allowOverlap="1" wp14:anchorId="31AC6499" wp14:editId="680B00A0">
          <wp:simplePos x="0" y="0"/>
          <wp:positionH relativeFrom="column">
            <wp:posOffset>5310505</wp:posOffset>
          </wp:positionH>
          <wp:positionV relativeFrom="paragraph">
            <wp:posOffset>-227330</wp:posOffset>
          </wp:positionV>
          <wp:extent cx="860400" cy="792000"/>
          <wp:effectExtent l="0" t="0" r="0" b="8255"/>
          <wp:wrapTight wrapText="bothSides">
            <wp:wrapPolygon edited="0">
              <wp:start x="0" y="0"/>
              <wp:lineTo x="0" y="21306"/>
              <wp:lineTo x="21058" y="21306"/>
              <wp:lineTo x="21058"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 cy="792000"/>
                  </a:xfrm>
                  <a:prstGeom prst="rect">
                    <a:avLst/>
                  </a:prstGeom>
                </pic:spPr>
              </pic:pic>
            </a:graphicData>
          </a:graphic>
          <wp14:sizeRelH relativeFrom="page">
            <wp14:pctWidth>0</wp14:pctWidth>
          </wp14:sizeRelH>
          <wp14:sizeRelV relativeFrom="page">
            <wp14:pctHeight>0</wp14:pctHeight>
          </wp14:sizeRelV>
        </wp:anchor>
      </w:drawing>
    </w:r>
    <w:r w:rsidR="00BD6E96">
      <w:rPr>
        <w:b/>
        <w:sz w:val="20"/>
        <w:szCs w:val="20"/>
      </w:rPr>
      <w:t>Normalverteilung</w:t>
    </w:r>
    <w:r w:rsidRPr="00294AF0">
      <w:rPr>
        <w:sz w:val="20"/>
        <w:szCs w:val="20"/>
      </w:rPr>
      <w:tab/>
    </w:r>
    <w:r w:rsidR="00BD6E96">
      <w:rPr>
        <w:b/>
        <w:sz w:val="20"/>
        <w:szCs w:val="20"/>
      </w:rPr>
      <w:t>Unterrichtsgang</w:t>
    </w:r>
    <w:r w:rsidR="001D66FC">
      <w:rPr>
        <w:b/>
        <w:sz w:val="20"/>
        <w:szCs w:val="20"/>
      </w:rPr>
      <w:t xml:space="preserve"> im Basisfach</w:t>
    </w:r>
  </w:p>
  <w:p w14:paraId="0B1214FD" w14:textId="25EFBF6D" w:rsidR="000B1F83" w:rsidRDefault="0040248B" w:rsidP="00325947">
    <w:pPr>
      <w:pStyle w:val="Kopfzeile"/>
      <w:tabs>
        <w:tab w:val="clear" w:pos="4536"/>
        <w:tab w:val="clear" w:pos="9072"/>
        <w:tab w:val="left" w:pos="2727"/>
      </w:tabs>
    </w:pPr>
    <w:r w:rsidRPr="00294AF0">
      <w:rPr>
        <w:noProof/>
        <w:sz w:val="20"/>
        <w:szCs w:val="20"/>
      </w:rPr>
      <mc:AlternateContent>
        <mc:Choice Requires="wps">
          <w:drawing>
            <wp:anchor distT="0" distB="0" distL="114300" distR="114300" simplePos="0" relativeHeight="251673600" behindDoc="0" locked="0" layoutInCell="0" allowOverlap="1" wp14:anchorId="2667EBD8" wp14:editId="7BCF7849">
              <wp:simplePos x="0" y="0"/>
              <wp:positionH relativeFrom="column">
                <wp:align>left</wp:align>
              </wp:positionH>
              <wp:positionV relativeFrom="paragraph">
                <wp:posOffset>75416</wp:posOffset>
              </wp:positionV>
              <wp:extent cx="5256000" cy="0"/>
              <wp:effectExtent l="0" t="0" r="20955" b="19050"/>
              <wp:wrapNone/>
              <wp:docPr id="4" name="Gerade Verbindung 4"/>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C80064" id="Gerade Verbindung 4" o:spid="_x0000_s1026" style="position:absolute;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95pt" to="413.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" o:allowincell="f" strokecolor="black [3040]"/>
          </w:pict>
        </mc:Fallback>
      </mc:AlternateContent>
    </w:r>
  </w:p>
  <w:p w14:paraId="4FBBE9A1" w14:textId="77777777" w:rsidR="000B1F83" w:rsidRPr="00325947" w:rsidRDefault="008B66DD" w:rsidP="003259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8FFB" w14:textId="218D45CC" w:rsidR="001D66FC" w:rsidRDefault="00C758C0" w:rsidP="00BD6E96">
    <w:pPr>
      <w:pStyle w:val="Kopfzeile"/>
      <w:tabs>
        <w:tab w:val="clear" w:pos="4536"/>
        <w:tab w:val="clear" w:pos="9072"/>
        <w:tab w:val="center" w:pos="6946"/>
        <w:tab w:val="right" w:pos="14287"/>
      </w:tabs>
      <w:rPr>
        <w:noProof/>
        <w:sz w:val="20"/>
        <w:szCs w:val="20"/>
      </w:rPr>
    </w:pPr>
    <w:r w:rsidRPr="00294AF0">
      <w:rPr>
        <w:noProof/>
        <w:sz w:val="20"/>
        <w:szCs w:val="20"/>
      </w:rPr>
      <w:drawing>
        <wp:anchor distT="0" distB="0" distL="114300" distR="114300" simplePos="0" relativeHeight="251676672" behindDoc="1" locked="0" layoutInCell="1" allowOverlap="1" wp14:anchorId="614678E9" wp14:editId="67996E2A">
          <wp:simplePos x="0" y="0"/>
          <wp:positionH relativeFrom="column">
            <wp:posOffset>8788400</wp:posOffset>
          </wp:positionH>
          <wp:positionV relativeFrom="paragraph">
            <wp:posOffset>-230505</wp:posOffset>
          </wp:positionV>
          <wp:extent cx="861060" cy="790575"/>
          <wp:effectExtent l="0" t="0" r="0" b="9525"/>
          <wp:wrapTight wrapText="bothSides">
            <wp:wrapPolygon edited="0">
              <wp:start x="0" y="0"/>
              <wp:lineTo x="0" y="21340"/>
              <wp:lineTo x="21027" y="21340"/>
              <wp:lineTo x="210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790575"/>
                  </a:xfrm>
                  <a:prstGeom prst="rect">
                    <a:avLst/>
                  </a:prstGeom>
                </pic:spPr>
              </pic:pic>
            </a:graphicData>
          </a:graphic>
          <wp14:sizeRelH relativeFrom="page">
            <wp14:pctWidth>0</wp14:pctWidth>
          </wp14:sizeRelH>
          <wp14:sizeRelV relativeFrom="page">
            <wp14:pctHeight>0</wp14:pctHeight>
          </wp14:sizeRelV>
        </wp:anchor>
      </w:drawing>
    </w:r>
    <w:r w:rsidR="00BD6E96">
      <w:rPr>
        <w:b/>
        <w:sz w:val="20"/>
        <w:szCs w:val="20"/>
      </w:rPr>
      <w:t>Normalverteilung</w:t>
    </w:r>
    <w:r w:rsidR="00BD6E96" w:rsidRPr="00294AF0">
      <w:rPr>
        <w:sz w:val="20"/>
        <w:szCs w:val="20"/>
      </w:rPr>
      <w:tab/>
    </w:r>
    <w:r w:rsidR="00BD6E96">
      <w:rPr>
        <w:b/>
        <w:sz w:val="20"/>
        <w:szCs w:val="20"/>
      </w:rPr>
      <w:t>Unterrichtsgang im Basisfach</w:t>
    </w:r>
  </w:p>
  <w:p w14:paraId="06517B43" w14:textId="43BB6964" w:rsidR="00C758C0" w:rsidRDefault="00C758C0" w:rsidP="001D66FC">
    <w:pPr>
      <w:pStyle w:val="Kopfzeile"/>
      <w:tabs>
        <w:tab w:val="clear" w:pos="9072"/>
        <w:tab w:val="right" w:pos="9070"/>
      </w:tabs>
    </w:pPr>
    <w:r w:rsidRPr="00294AF0">
      <w:rPr>
        <w:noProof/>
        <w:sz w:val="20"/>
        <w:szCs w:val="20"/>
      </w:rPr>
      <mc:AlternateContent>
        <mc:Choice Requires="wps">
          <w:drawing>
            <wp:anchor distT="0" distB="0" distL="114300" distR="114300" simplePos="0" relativeHeight="251666432" behindDoc="0" locked="0" layoutInCell="0" allowOverlap="1" wp14:anchorId="04243434" wp14:editId="7BF3546D">
              <wp:simplePos x="0" y="0"/>
              <wp:positionH relativeFrom="column">
                <wp:align>left</wp:align>
              </wp:positionH>
              <wp:positionV relativeFrom="paragraph">
                <wp:posOffset>75416</wp:posOffset>
              </wp:positionV>
              <wp:extent cx="86772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867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9339EE" id="Gerade Verbindung 3" o:spid="_x0000_s1026" style="position:absolute;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95pt" to="683.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" o:allowincell="f"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439C" w14:textId="07C709B5" w:rsidR="0081782D" w:rsidRPr="00A37239" w:rsidRDefault="0081782D" w:rsidP="00325947">
    <w:pPr>
      <w:pStyle w:val="Kopfzeile"/>
      <w:tabs>
        <w:tab w:val="clear" w:pos="9072"/>
        <w:tab w:val="right" w:pos="9070"/>
      </w:tabs>
      <w:rPr>
        <w:sz w:val="20"/>
        <w:szCs w:val="20"/>
      </w:rPr>
    </w:pPr>
    <w:r w:rsidRPr="00294AF0">
      <w:rPr>
        <w:noProof/>
        <w:sz w:val="20"/>
        <w:szCs w:val="20"/>
      </w:rPr>
      <w:drawing>
        <wp:anchor distT="0" distB="0" distL="114300" distR="114300" simplePos="0" relativeHeight="251675648" behindDoc="1" locked="0" layoutInCell="1" allowOverlap="1" wp14:anchorId="40FAD9E0" wp14:editId="72853F03">
          <wp:simplePos x="0" y="0"/>
          <wp:positionH relativeFrom="column">
            <wp:posOffset>5311775</wp:posOffset>
          </wp:positionH>
          <wp:positionV relativeFrom="paragraph">
            <wp:posOffset>-154305</wp:posOffset>
          </wp:positionV>
          <wp:extent cx="861060" cy="790575"/>
          <wp:effectExtent l="0" t="0" r="0" b="9525"/>
          <wp:wrapTight wrapText="bothSides">
            <wp:wrapPolygon edited="0">
              <wp:start x="0" y="0"/>
              <wp:lineTo x="0" y="21340"/>
              <wp:lineTo x="21027" y="21340"/>
              <wp:lineTo x="2102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790575"/>
                  </a:xfrm>
                  <a:prstGeom prst="rect">
                    <a:avLst/>
                  </a:prstGeom>
                </pic:spPr>
              </pic:pic>
            </a:graphicData>
          </a:graphic>
          <wp14:sizeRelH relativeFrom="page">
            <wp14:pctWidth>0</wp14:pctWidth>
          </wp14:sizeRelH>
          <wp14:sizeRelV relativeFrom="page">
            <wp14:pctHeight>0</wp14:pctHeight>
          </wp14:sizeRelV>
        </wp:anchor>
      </w:drawing>
    </w:r>
    <w:r w:rsidR="00BD6E96">
      <w:rPr>
        <w:b/>
        <w:sz w:val="20"/>
        <w:szCs w:val="20"/>
      </w:rPr>
      <w:t>Normalverteilung</w:t>
    </w:r>
    <w:r w:rsidR="00BD6E96" w:rsidRPr="00294AF0">
      <w:rPr>
        <w:sz w:val="20"/>
        <w:szCs w:val="20"/>
      </w:rPr>
      <w:tab/>
    </w:r>
    <w:r w:rsidR="00BD6E96">
      <w:rPr>
        <w:b/>
        <w:sz w:val="20"/>
        <w:szCs w:val="20"/>
      </w:rPr>
      <w:t>Unterrichtsgang im Basisfach</w:t>
    </w:r>
  </w:p>
  <w:p w14:paraId="66EA776F" w14:textId="79CC1933" w:rsidR="0081782D" w:rsidRDefault="0081782D" w:rsidP="00325947">
    <w:pPr>
      <w:pStyle w:val="Kopfzeile"/>
      <w:tabs>
        <w:tab w:val="clear" w:pos="4536"/>
        <w:tab w:val="clear" w:pos="9072"/>
        <w:tab w:val="left" w:pos="2727"/>
      </w:tabs>
    </w:pPr>
    <w:r w:rsidRPr="00294AF0">
      <w:rPr>
        <w:noProof/>
        <w:sz w:val="20"/>
        <w:szCs w:val="20"/>
      </w:rPr>
      <mc:AlternateContent>
        <mc:Choice Requires="wps">
          <w:drawing>
            <wp:anchor distT="0" distB="0" distL="114300" distR="114300" simplePos="0" relativeHeight="251663360" behindDoc="0" locked="0" layoutInCell="0" allowOverlap="1" wp14:anchorId="7CCF51B8" wp14:editId="387EF4F5">
              <wp:simplePos x="0" y="0"/>
              <wp:positionH relativeFrom="column">
                <wp:align>left</wp:align>
              </wp:positionH>
              <wp:positionV relativeFrom="paragraph">
                <wp:posOffset>75416</wp:posOffset>
              </wp:positionV>
              <wp:extent cx="5243195" cy="0"/>
              <wp:effectExtent l="0" t="0" r="14605" b="19050"/>
              <wp:wrapNone/>
              <wp:docPr id="1" name="Gerade Verbindung 1"/>
              <wp:cNvGraphicFramePr/>
              <a:graphic xmlns:a="http://schemas.openxmlformats.org/drawingml/2006/main">
                <a:graphicData uri="http://schemas.microsoft.com/office/word/2010/wordprocessingShape">
                  <wps:wsp>
                    <wps:cNvCnPr/>
                    <wps:spPr>
                      <a:xfrm>
                        <a:off x="0" y="0"/>
                        <a:ext cx="5243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35CAB1" id="Gerade Verbindung 1" o:spid="_x0000_s1026" style="position:absolute;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95pt" to="412.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" o:allowincell="f"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5D4B"/>
    <w:multiLevelType w:val="hybridMultilevel"/>
    <w:tmpl w:val="E0F4A616"/>
    <w:lvl w:ilvl="0" w:tplc="306876CC">
      <w:start w:val="1"/>
      <w:numFmt w:val="upperRoman"/>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3638A5"/>
    <w:multiLevelType w:val="hybridMultilevel"/>
    <w:tmpl w:val="9DAE9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E160A0"/>
    <w:multiLevelType w:val="multilevel"/>
    <w:tmpl w:val="4324142C"/>
    <w:lvl w:ilvl="0">
      <w:start w:val="1"/>
      <w:numFmt w:val="decimal"/>
      <w:lvlText w:val="%1)"/>
      <w:lvlJc w:val="left"/>
      <w:pPr>
        <w:tabs>
          <w:tab w:val="num" w:pos="360"/>
        </w:tabs>
        <w:ind w:left="360" w:hanging="360"/>
      </w:pPr>
      <w:rPr>
        <w:strike w:val="0"/>
        <w:dstrike w:val="0"/>
        <w:u w:val="none"/>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990111E"/>
    <w:multiLevelType w:val="multilevel"/>
    <w:tmpl w:val="9F224E8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1D72928"/>
    <w:multiLevelType w:val="hybridMultilevel"/>
    <w:tmpl w:val="6186E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B80BBE"/>
    <w:multiLevelType w:val="hybridMultilevel"/>
    <w:tmpl w:val="4586B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C03915"/>
    <w:multiLevelType w:val="hybridMultilevel"/>
    <w:tmpl w:val="1996033E"/>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7" w15:restartNumberingAfterBreak="0">
    <w:nsid w:val="68240BC4"/>
    <w:multiLevelType w:val="hybridMultilevel"/>
    <w:tmpl w:val="32F8B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705D08"/>
    <w:multiLevelType w:val="hybridMultilevel"/>
    <w:tmpl w:val="6F126F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CA0F1F"/>
    <w:multiLevelType w:val="hybridMultilevel"/>
    <w:tmpl w:val="7F7C5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4"/>
  </w:num>
  <w:num w:numId="7">
    <w:abstractNumId w:val="9"/>
  </w:num>
  <w:num w:numId="8">
    <w:abstractNumId w:val="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48B"/>
    <w:rsid w:val="000C36A5"/>
    <w:rsid w:val="00116D84"/>
    <w:rsid w:val="00152010"/>
    <w:rsid w:val="001B2818"/>
    <w:rsid w:val="001D66FC"/>
    <w:rsid w:val="00210065"/>
    <w:rsid w:val="00217A77"/>
    <w:rsid w:val="00232074"/>
    <w:rsid w:val="0028378F"/>
    <w:rsid w:val="002B01F1"/>
    <w:rsid w:val="002F0A2B"/>
    <w:rsid w:val="003065EE"/>
    <w:rsid w:val="0033752B"/>
    <w:rsid w:val="0037014F"/>
    <w:rsid w:val="00386D5B"/>
    <w:rsid w:val="003C0754"/>
    <w:rsid w:val="0040248B"/>
    <w:rsid w:val="00404106"/>
    <w:rsid w:val="00431758"/>
    <w:rsid w:val="0043232A"/>
    <w:rsid w:val="004734C2"/>
    <w:rsid w:val="004846EF"/>
    <w:rsid w:val="004B6E83"/>
    <w:rsid w:val="004D79F2"/>
    <w:rsid w:val="005023A9"/>
    <w:rsid w:val="005044E0"/>
    <w:rsid w:val="0055241E"/>
    <w:rsid w:val="005E4B55"/>
    <w:rsid w:val="005E4B9C"/>
    <w:rsid w:val="006243C7"/>
    <w:rsid w:val="006256DC"/>
    <w:rsid w:val="0066576F"/>
    <w:rsid w:val="006771AD"/>
    <w:rsid w:val="0073183C"/>
    <w:rsid w:val="007642DA"/>
    <w:rsid w:val="007676F8"/>
    <w:rsid w:val="00773DB3"/>
    <w:rsid w:val="007A670D"/>
    <w:rsid w:val="007F1069"/>
    <w:rsid w:val="008018D0"/>
    <w:rsid w:val="0081782D"/>
    <w:rsid w:val="008215CC"/>
    <w:rsid w:val="00826310"/>
    <w:rsid w:val="0084658B"/>
    <w:rsid w:val="00862E29"/>
    <w:rsid w:val="008936C2"/>
    <w:rsid w:val="008B66DD"/>
    <w:rsid w:val="008C47B3"/>
    <w:rsid w:val="008F7033"/>
    <w:rsid w:val="0090258C"/>
    <w:rsid w:val="00933DAF"/>
    <w:rsid w:val="0098375E"/>
    <w:rsid w:val="009B7D40"/>
    <w:rsid w:val="009F1659"/>
    <w:rsid w:val="00A14B7F"/>
    <w:rsid w:val="00A37082"/>
    <w:rsid w:val="00A61426"/>
    <w:rsid w:val="00A64A76"/>
    <w:rsid w:val="00A96FC7"/>
    <w:rsid w:val="00AB70EF"/>
    <w:rsid w:val="00AC761E"/>
    <w:rsid w:val="00B32C62"/>
    <w:rsid w:val="00B43F51"/>
    <w:rsid w:val="00B6172F"/>
    <w:rsid w:val="00B83A5B"/>
    <w:rsid w:val="00B94795"/>
    <w:rsid w:val="00BD6E96"/>
    <w:rsid w:val="00C0348B"/>
    <w:rsid w:val="00C050DF"/>
    <w:rsid w:val="00C25D18"/>
    <w:rsid w:val="00C3189D"/>
    <w:rsid w:val="00C41F20"/>
    <w:rsid w:val="00C6053C"/>
    <w:rsid w:val="00C758C0"/>
    <w:rsid w:val="00C9651E"/>
    <w:rsid w:val="00CB3544"/>
    <w:rsid w:val="00CC3DEC"/>
    <w:rsid w:val="00CD7810"/>
    <w:rsid w:val="00D07B85"/>
    <w:rsid w:val="00D23CF8"/>
    <w:rsid w:val="00D971D7"/>
    <w:rsid w:val="00DB51EC"/>
    <w:rsid w:val="00E16A39"/>
    <w:rsid w:val="00E21A11"/>
    <w:rsid w:val="00E26BF6"/>
    <w:rsid w:val="00E50CF3"/>
    <w:rsid w:val="00F53949"/>
    <w:rsid w:val="00F72BE6"/>
    <w:rsid w:val="00FB5B36"/>
    <w:rsid w:val="00FC2D58"/>
    <w:rsid w:val="00FC4762"/>
    <w:rsid w:val="00FD4B49"/>
    <w:rsid w:val="00FE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B9E7"/>
  <w15:docId w15:val="{4B5CE756-C503-4208-A6CE-22FBF902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248B"/>
    <w:rPr>
      <w:rFonts w:eastAsiaTheme="minorEastAsia"/>
      <w:lang w:eastAsia="de-DE"/>
    </w:rPr>
  </w:style>
  <w:style w:type="paragraph" w:styleId="berschrift1">
    <w:name w:val="heading 1"/>
    <w:basedOn w:val="Standard"/>
    <w:next w:val="Standard"/>
    <w:link w:val="berschrift1Zchn"/>
    <w:uiPriority w:val="9"/>
    <w:qFormat/>
    <w:rsid w:val="00C050DF"/>
    <w:pPr>
      <w:keepNext/>
      <w:keepLines/>
      <w:numPr>
        <w:numId w:val="1"/>
      </w:numPr>
      <w:spacing w:before="480" w:after="360"/>
      <w:outlineLvl w:val="0"/>
    </w:pPr>
    <w:rPr>
      <w:rFonts w:asciiTheme="majorHAnsi" w:eastAsiaTheme="majorEastAsia" w:hAnsiTheme="majorHAnsi" w:cstheme="majorBidi"/>
      <w:b/>
      <w:bCs/>
      <w:color w:val="5A5C5E"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50DF"/>
    <w:rPr>
      <w:rFonts w:asciiTheme="majorHAnsi" w:eastAsiaTheme="majorEastAsia" w:hAnsiTheme="majorHAnsi" w:cstheme="majorBidi"/>
      <w:b/>
      <w:bCs/>
      <w:color w:val="5A5C5E" w:themeColor="accent1" w:themeShade="BF"/>
      <w:sz w:val="28"/>
      <w:szCs w:val="28"/>
      <w:lang w:eastAsia="de-DE"/>
    </w:rPr>
  </w:style>
  <w:style w:type="paragraph" w:styleId="Titel">
    <w:name w:val="Title"/>
    <w:basedOn w:val="Standard"/>
    <w:next w:val="Standard"/>
    <w:link w:val="TitelZchn"/>
    <w:uiPriority w:val="10"/>
    <w:qFormat/>
    <w:rsid w:val="00C050DF"/>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40"/>
      <w:szCs w:val="52"/>
    </w:rPr>
  </w:style>
  <w:style w:type="character" w:customStyle="1" w:styleId="TitelZchn">
    <w:name w:val="Titel Zchn"/>
    <w:basedOn w:val="Absatz-Standardschriftart"/>
    <w:link w:val="Titel"/>
    <w:uiPriority w:val="10"/>
    <w:rsid w:val="00C050DF"/>
    <w:rPr>
      <w:rFonts w:asciiTheme="majorHAnsi" w:eastAsiaTheme="majorEastAsia" w:hAnsiTheme="majorHAnsi" w:cstheme="majorBidi"/>
      <w:color w:val="323231" w:themeColor="text2" w:themeShade="BF"/>
      <w:spacing w:val="5"/>
      <w:kern w:val="28"/>
      <w:sz w:val="40"/>
      <w:szCs w:val="52"/>
    </w:rPr>
  </w:style>
  <w:style w:type="character" w:styleId="Hervorhebung">
    <w:name w:val="Emphasis"/>
    <w:basedOn w:val="Absatz-Standardschriftart"/>
    <w:uiPriority w:val="20"/>
    <w:qFormat/>
    <w:rsid w:val="00C050DF"/>
    <w:rPr>
      <w:b/>
      <w:iCs/>
    </w:rPr>
  </w:style>
  <w:style w:type="paragraph" w:styleId="KeinLeerraum">
    <w:name w:val="No Spacing"/>
    <w:uiPriority w:val="1"/>
    <w:qFormat/>
    <w:rsid w:val="00C050DF"/>
    <w:pPr>
      <w:spacing w:after="0" w:line="240" w:lineRule="auto"/>
      <w:jc w:val="both"/>
    </w:pPr>
  </w:style>
  <w:style w:type="paragraph" w:styleId="Listenabsatz">
    <w:name w:val="List Paragraph"/>
    <w:basedOn w:val="Standard"/>
    <w:uiPriority w:val="34"/>
    <w:qFormat/>
    <w:rsid w:val="00C050DF"/>
    <w:pPr>
      <w:ind w:left="720"/>
      <w:contextualSpacing/>
    </w:pPr>
  </w:style>
  <w:style w:type="paragraph" w:styleId="Kopfzeile">
    <w:name w:val="header"/>
    <w:basedOn w:val="Standard"/>
    <w:link w:val="KopfzeileZchn"/>
    <w:uiPriority w:val="99"/>
    <w:unhideWhenUsed/>
    <w:rsid w:val="004024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48B"/>
    <w:rPr>
      <w:rFonts w:eastAsiaTheme="minorEastAsia"/>
      <w:lang w:eastAsia="de-DE"/>
    </w:rPr>
  </w:style>
  <w:style w:type="character" w:styleId="Kommentarzeichen">
    <w:name w:val="annotation reference"/>
    <w:basedOn w:val="Absatz-Standardschriftart"/>
    <w:uiPriority w:val="99"/>
    <w:semiHidden/>
    <w:unhideWhenUsed/>
    <w:rsid w:val="0040248B"/>
    <w:rPr>
      <w:sz w:val="16"/>
      <w:szCs w:val="16"/>
    </w:rPr>
  </w:style>
  <w:style w:type="paragraph" w:styleId="Kommentartext">
    <w:name w:val="annotation text"/>
    <w:basedOn w:val="Standard"/>
    <w:link w:val="KommentartextZchn"/>
    <w:uiPriority w:val="99"/>
    <w:unhideWhenUsed/>
    <w:rsid w:val="0040248B"/>
    <w:pPr>
      <w:spacing w:line="240" w:lineRule="auto"/>
    </w:pPr>
    <w:rPr>
      <w:sz w:val="20"/>
      <w:szCs w:val="20"/>
    </w:rPr>
  </w:style>
  <w:style w:type="character" w:customStyle="1" w:styleId="KommentartextZchn">
    <w:name w:val="Kommentartext Zchn"/>
    <w:basedOn w:val="Absatz-Standardschriftart"/>
    <w:link w:val="Kommentartext"/>
    <w:uiPriority w:val="99"/>
    <w:rsid w:val="0040248B"/>
    <w:rPr>
      <w:rFonts w:eastAsiaTheme="minorEastAsia"/>
      <w:sz w:val="20"/>
      <w:szCs w:val="20"/>
      <w:lang w:eastAsia="de-DE"/>
    </w:rPr>
  </w:style>
  <w:style w:type="paragraph" w:styleId="Sprechblasentext">
    <w:name w:val="Balloon Text"/>
    <w:basedOn w:val="Standard"/>
    <w:link w:val="SprechblasentextZchn"/>
    <w:uiPriority w:val="99"/>
    <w:semiHidden/>
    <w:unhideWhenUsed/>
    <w:rsid w:val="004024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48B"/>
    <w:rPr>
      <w:rFonts w:ascii="Tahoma" w:eastAsiaTheme="minorEastAsia"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8F7033"/>
    <w:rPr>
      <w:b/>
      <w:bCs/>
    </w:rPr>
  </w:style>
  <w:style w:type="character" w:customStyle="1" w:styleId="KommentarthemaZchn">
    <w:name w:val="Kommentarthema Zchn"/>
    <w:basedOn w:val="KommentartextZchn"/>
    <w:link w:val="Kommentarthema"/>
    <w:uiPriority w:val="99"/>
    <w:semiHidden/>
    <w:rsid w:val="008F7033"/>
    <w:rPr>
      <w:rFonts w:eastAsiaTheme="minorEastAsia"/>
      <w:b/>
      <w:bCs/>
      <w:sz w:val="20"/>
      <w:szCs w:val="20"/>
      <w:lang w:eastAsia="de-DE"/>
    </w:rPr>
  </w:style>
  <w:style w:type="character" w:styleId="Platzhaltertext">
    <w:name w:val="Placeholder Text"/>
    <w:basedOn w:val="Absatz-Standardschriftart"/>
    <w:uiPriority w:val="99"/>
    <w:semiHidden/>
    <w:rsid w:val="00C0348B"/>
    <w:rPr>
      <w:color w:val="808080"/>
    </w:rPr>
  </w:style>
  <w:style w:type="paragraph" w:styleId="Fuzeile">
    <w:name w:val="footer"/>
    <w:basedOn w:val="Standard"/>
    <w:link w:val="FuzeileZchn"/>
    <w:unhideWhenUsed/>
    <w:rsid w:val="0081782D"/>
    <w:pPr>
      <w:tabs>
        <w:tab w:val="center" w:pos="4536"/>
        <w:tab w:val="right" w:pos="9072"/>
      </w:tabs>
      <w:spacing w:after="0" w:line="240" w:lineRule="auto"/>
    </w:pPr>
  </w:style>
  <w:style w:type="character" w:customStyle="1" w:styleId="FuzeileZchn">
    <w:name w:val="Fußzeile Zchn"/>
    <w:basedOn w:val="Absatz-Standardschriftart"/>
    <w:link w:val="Fuzeile"/>
    <w:rsid w:val="0081782D"/>
    <w:rPr>
      <w:rFonts w:eastAsiaTheme="minorEastAsia"/>
      <w:lang w:eastAsia="de-DE"/>
    </w:rPr>
  </w:style>
  <w:style w:type="paragraph" w:styleId="Funotentext">
    <w:name w:val="footnote text"/>
    <w:basedOn w:val="Standard"/>
    <w:link w:val="FunotentextZchn"/>
    <w:uiPriority w:val="99"/>
    <w:semiHidden/>
    <w:unhideWhenUsed/>
    <w:rsid w:val="005044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44E0"/>
    <w:rPr>
      <w:rFonts w:eastAsiaTheme="minorEastAsia"/>
      <w:sz w:val="20"/>
      <w:szCs w:val="20"/>
      <w:lang w:eastAsia="de-DE"/>
    </w:rPr>
  </w:style>
  <w:style w:type="character" w:styleId="Funotenzeichen">
    <w:name w:val="footnote reference"/>
    <w:basedOn w:val="Absatz-Standardschriftart"/>
    <w:uiPriority w:val="99"/>
    <w:semiHidden/>
    <w:unhideWhenUsed/>
    <w:rsid w:val="005044E0"/>
    <w:rPr>
      <w:vertAlign w:val="superscript"/>
    </w:rPr>
  </w:style>
  <w:style w:type="character" w:styleId="Hyperlink">
    <w:name w:val="Hyperlink"/>
    <w:basedOn w:val="Absatz-Standardschriftart"/>
    <w:uiPriority w:val="99"/>
    <w:unhideWhenUsed/>
    <w:rsid w:val="0043175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Winkel">
  <a:themeElements>
    <a:clrScheme name="Winkel">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inke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BDF3-7AD4-4C1A-9E89-55DBC988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11399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Normalverteilung - Unterrichtsgang BF</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Normalverteilung - Unterrichtsgang BF</dc:title>
  <dc:creator>Bernhard Groß-Schmitt;Claudia Uhl</dc:creator>
  <cp:lastModifiedBy>Bernhard Groß-Schmitt</cp:lastModifiedBy>
  <cp:revision>4</cp:revision>
  <cp:lastPrinted>2019-02-05T15:53:00Z</cp:lastPrinted>
  <dcterms:created xsi:type="dcterms:W3CDTF">2019-02-05T16:31:00Z</dcterms:created>
  <dcterms:modified xsi:type="dcterms:W3CDTF">2019-02-07T21:40:00Z</dcterms:modified>
</cp:coreProperties>
</file>