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1"/>
          <w:numId w:val="1"/>
        </w:numPr>
        <w:spacing w:before="240" w:after="120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1.2.6 Wichtige I</w:t>
      </w:r>
      <w:r>
        <w:rPr>
          <w:rFonts w:ascii="Liberation Serif" w:hAnsi="Liberation Serif"/>
          <w:b/>
          <w:bCs/>
          <w:sz w:val="32"/>
          <w:szCs w:val="32"/>
        </w:rPr>
        <w:t xml:space="preserve">llokutionsverben </w:t>
      </w:r>
      <w:r>
        <w:rPr>
          <w:rFonts w:ascii="Liberation Serif" w:hAnsi="Liberation Serif"/>
          <w:b/>
          <w:bCs/>
          <w:sz w:val="32"/>
          <w:szCs w:val="32"/>
        </w:rPr>
        <w:t>für erzählende Texte und Lyrik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Einige dieser Illokutionen sind typisch für auktoriale Erzähler, andere eher für personale Erzähler.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 xml:space="preserve">Natürlich sind statt der finiten Illokutionsverben auch andere Ausdrucksweisen möglich, z.B. agensloses Passiv </w:t>
      </w:r>
      <w:r>
        <w:rPr>
          <w:b w:val="false"/>
          <w:bCs w:val="false"/>
          <w:sz w:val="20"/>
          <w:szCs w:val="20"/>
        </w:rPr>
        <w:t>(an dieser Stelle wird angedeutet, dass)</w:t>
      </w:r>
      <w:r>
        <w:rPr>
          <w:b/>
          <w:bCs/>
          <w:sz w:val="20"/>
          <w:szCs w:val="20"/>
        </w:rPr>
        <w:t xml:space="preserve"> oder adverbiale Bestimmung </w:t>
      </w:r>
      <w:r>
        <w:rPr>
          <w:b w:val="false"/>
          <w:bCs w:val="false"/>
          <w:sz w:val="20"/>
          <w:szCs w:val="20"/>
        </w:rPr>
        <w:t>(Durch diese Andeutung ...)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  <w:highlight w:val="lightGray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highlight w:val="lightGray"/>
                <w:u w:val="none"/>
              </w:rPr>
              <w:t xml:space="preserve">Dominanz der </w:t>
            </w:r>
            <w:r>
              <w:rPr>
                <w:b/>
                <w:bCs/>
                <w:sz w:val="20"/>
                <w:szCs w:val="20"/>
                <w:highlight w:val="lightGray"/>
                <w:u w:val="none"/>
              </w:rPr>
              <w:t>Darstellungsfunktion</w:t>
            </w:r>
            <w:r>
              <w:rPr>
                <w:b w:val="false"/>
                <w:bCs w:val="false"/>
                <w:sz w:val="20"/>
                <w:szCs w:val="20"/>
                <w:highlight w:val="lightGray"/>
                <w:u w:val="none"/>
              </w:rPr>
              <w:t xml:space="preserve"> der Sprache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 Erzähler 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schildert</w:t>
            </w:r>
            <w:r>
              <w:rPr>
                <w:b w:val="false"/>
                <w:bCs w:val="false"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beschreibt</w:t>
            </w:r>
            <w:r>
              <w:rPr>
                <w:b w:val="false"/>
                <w:bCs w:val="false"/>
                <w:sz w:val="20"/>
                <w:szCs w:val="20"/>
              </w:rPr>
              <w:t xml:space="preserve"> genau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nimmt vorweg</w:t>
            </w:r>
            <w:r>
              <w:rPr>
                <w:b w:val="false"/>
                <w:bCs w:val="false"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antizipiert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deutet an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führt</w:t>
            </w:r>
            <w:r>
              <w:rPr>
                <w:b w:val="false"/>
                <w:bCs w:val="false"/>
                <w:sz w:val="20"/>
                <w:szCs w:val="20"/>
              </w:rPr>
              <w:t xml:space="preserve"> eine Figur </w:t>
            </w:r>
            <w:r>
              <w:rPr>
                <w:b/>
                <w:bCs/>
                <w:sz w:val="20"/>
                <w:szCs w:val="20"/>
              </w:rPr>
              <w:t>ein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macht einen Zeitsprung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rafft</w:t>
            </w:r>
            <w:r>
              <w:rPr>
                <w:b w:val="false"/>
                <w:bCs w:val="false"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fasst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 kurz zusammen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kommentiert / </w:t>
            </w:r>
            <w:r>
              <w:rPr>
                <w:b/>
                <w:bCs/>
                <w:sz w:val="20"/>
                <w:szCs w:val="20"/>
              </w:rPr>
              <w:t>erklärt</w:t>
            </w:r>
            <w:r>
              <w:rPr>
                <w:b w:val="false"/>
                <w:bCs w:val="false"/>
                <w:sz w:val="20"/>
                <w:szCs w:val="20"/>
              </w:rPr>
              <w:t xml:space="preserve"> den Grund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mutmaßt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übertreibt / </w:t>
            </w:r>
            <w:r>
              <w:rPr>
                <w:b/>
                <w:bCs/>
                <w:sz w:val="20"/>
                <w:szCs w:val="20"/>
              </w:rPr>
              <w:t>verharmlost</w:t>
            </w:r>
          </w:p>
        </w:tc>
      </w:tr>
    </w:tbl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  <w:highlight w:val="lightGray"/>
                <w:u w:val="none"/>
              </w:rPr>
            </w:pPr>
            <w:r>
              <w:rPr>
                <w:sz w:val="20"/>
                <w:szCs w:val="20"/>
                <w:highlight w:val="lightGray"/>
                <w:u w:val="none"/>
              </w:rPr>
              <w:t xml:space="preserve">Dominanz der </w:t>
            </w:r>
            <w:r>
              <w:rPr>
                <w:b/>
                <w:bCs/>
                <w:sz w:val="20"/>
                <w:szCs w:val="20"/>
                <w:highlight w:val="lightGray"/>
                <w:u w:val="none"/>
              </w:rPr>
              <w:t>Appellfunktion</w:t>
            </w:r>
            <w:r>
              <w:rPr>
                <w:sz w:val="20"/>
                <w:szCs w:val="20"/>
                <w:highlight w:val="lightGray"/>
                <w:u w:val="none"/>
              </w:rPr>
              <w:t xml:space="preserve"> der Sprache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Der Erzähler …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appelliert an</w:t>
            </w:r>
            <w:r>
              <w:rPr>
                <w:sz w:val="20"/>
                <w:szCs w:val="20"/>
              </w:rPr>
              <w:t xml:space="preserve"> den Leser … / </w:t>
            </w:r>
            <w:r>
              <w:rPr>
                <w:b/>
                <w:bCs/>
                <w:sz w:val="20"/>
                <w:szCs w:val="20"/>
              </w:rPr>
              <w:t>fordert den Leser dazu auf, 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wirbt </w:t>
            </w:r>
            <w:r>
              <w:rPr>
                <w:b w:val="false"/>
                <w:bCs w:val="false"/>
                <w:sz w:val="20"/>
                <w:szCs w:val="20"/>
              </w:rPr>
              <w:t xml:space="preserve">um die Gunst des Lesers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bittet</w:t>
            </w:r>
            <w:r>
              <w:rPr>
                <w:b w:val="false"/>
                <w:bCs w:val="false"/>
                <w:sz w:val="20"/>
                <w:szCs w:val="20"/>
              </w:rPr>
              <w:t xml:space="preserve"> den Leser um Nachsicht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weist</w:t>
            </w:r>
            <w:r>
              <w:rPr>
                <w:b w:val="false"/>
                <w:bCs w:val="false"/>
                <w:sz w:val="20"/>
                <w:szCs w:val="20"/>
              </w:rPr>
              <w:t xml:space="preserve"> den Leser (z.B. durch Ironie) auf etw. </w:t>
            </w:r>
            <w:r>
              <w:rPr>
                <w:b/>
                <w:bCs/>
                <w:sz w:val="20"/>
                <w:szCs w:val="20"/>
              </w:rPr>
              <w:t>hin</w:t>
            </w:r>
          </w:p>
        </w:tc>
      </w:tr>
    </w:tbl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  <w:highlight w:val="lightGray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highlight w:val="lightGray"/>
                <w:u w:val="none"/>
              </w:rPr>
              <w:t xml:space="preserve">Dominanz der </w:t>
            </w:r>
            <w:r>
              <w:rPr>
                <w:b/>
                <w:bCs/>
                <w:sz w:val="20"/>
                <w:szCs w:val="20"/>
                <w:highlight w:val="lightGray"/>
                <w:u w:val="none"/>
              </w:rPr>
              <w:t>Ausdrucksfunktion</w:t>
            </w:r>
            <w:r>
              <w:rPr>
                <w:b w:val="false"/>
                <w:bCs w:val="false"/>
                <w:sz w:val="20"/>
                <w:szCs w:val="20"/>
                <w:highlight w:val="lightGray"/>
                <w:u w:val="none"/>
              </w:rPr>
              <w:t xml:space="preserve"> der Sprache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  <w:highlight w:val="lightGray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highlight w:val="lightGray"/>
                <w:u w:val="none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Der Erzähler …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kommentiert / </w:t>
            </w:r>
            <w:r>
              <w:rPr>
                <w:b/>
                <w:bCs/>
                <w:sz w:val="20"/>
                <w:szCs w:val="20"/>
              </w:rPr>
              <w:t>bewertet</w:t>
            </w:r>
            <w:r>
              <w:rPr>
                <w:b w:val="false"/>
                <w:bCs w:val="false"/>
                <w:sz w:val="20"/>
                <w:szCs w:val="20"/>
              </w:rPr>
              <w:t xml:space="preserve"> die Figur / </w:t>
            </w:r>
            <w:r>
              <w:rPr>
                <w:b/>
                <w:bCs/>
                <w:sz w:val="20"/>
                <w:szCs w:val="20"/>
              </w:rPr>
              <w:t>bezieht Stellung</w:t>
            </w:r>
            <w:r>
              <w:rPr>
                <w:b w:val="false"/>
                <w:bCs w:val="false"/>
                <w:sz w:val="20"/>
                <w:szCs w:val="20"/>
              </w:rPr>
              <w:t xml:space="preserve"> zum Geschehen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drückt</w:t>
            </w:r>
            <w:r>
              <w:rPr>
                <w:b w:val="false"/>
                <w:bCs w:val="false"/>
                <w:sz w:val="20"/>
                <w:szCs w:val="20"/>
              </w:rPr>
              <w:t xml:space="preserve"> (sein Mitleid / seine Bewunderung / seine Entrüstung usw.) </w:t>
            </w:r>
            <w:r>
              <w:rPr>
                <w:b/>
                <w:bCs/>
                <w:sz w:val="20"/>
                <w:szCs w:val="20"/>
              </w:rPr>
              <w:t>aus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verleiht seiner Hoffnung Ausdruck, </w:t>
            </w:r>
            <w:r>
              <w:rPr>
                <w:b w:val="false"/>
                <w:bCs w:val="false"/>
                <w:sz w:val="20"/>
                <w:szCs w:val="20"/>
              </w:rPr>
              <w:t>dass …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spottet</w:t>
            </w:r>
            <w:r>
              <w:rPr>
                <w:b w:val="false"/>
                <w:bCs w:val="false"/>
                <w:sz w:val="20"/>
                <w:szCs w:val="20"/>
              </w:rPr>
              <w:t xml:space="preserve"> über seine Figur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distanziert sich</w:t>
            </w:r>
            <w:r>
              <w:rPr>
                <w:b w:val="false"/>
                <w:bCs w:val="false"/>
                <w:sz w:val="20"/>
                <w:szCs w:val="20"/>
              </w:rPr>
              <w:t xml:space="preserve"> vom Geschehen </w:t>
            </w:r>
            <w:r>
              <w:rPr>
                <w:b w:val="false"/>
                <w:bCs w:val="false"/>
                <w:sz w:val="20"/>
                <w:szCs w:val="20"/>
              </w:rPr>
              <w:t>(z.B. durch Ironie)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hinterfragt</w:t>
            </w:r>
            <w:r>
              <w:rPr>
                <w:b w:val="false"/>
                <w:bCs w:val="false"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 xml:space="preserve">stellt in Frage </w:t>
            </w:r>
            <w:r>
              <w:rPr>
                <w:b w:val="false"/>
                <w:bCs w:val="false"/>
                <w:sz w:val="20"/>
                <w:szCs w:val="20"/>
              </w:rPr>
              <w:t>…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Sonderfall Lyrik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In der Lyrik kommen verhältnismäßig oft Illokutionen vor, die den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Gefühlszustand ausdrücken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 xml:space="preserve">.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>Da es hierfür oft keine Illokutionsverben gibt, gibt man sie durch Formeln wie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0"/>
                <w:szCs w:val="20"/>
                <w:u w:val="non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none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none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u w:val="none"/>
              </w:rPr>
              <w:t xml:space="preserve">as lyrische Ich / Der Sprecher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  <w:u w:val="none"/>
              </w:rPr>
              <w:t>„</w:t>
            </w:r>
            <w:r>
              <w:rPr>
                <w:b/>
                <w:bCs/>
                <w:i w:val="false"/>
                <w:iCs w:val="false"/>
                <w:sz w:val="20"/>
                <w:szCs w:val="20"/>
                <w:u w:val="none"/>
              </w:rPr>
              <w:t xml:space="preserve">drückt ... aus“ / „verleiht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>seiner Hoffnung</w:t>
            </w:r>
            <w:r>
              <w:rPr>
                <w:b/>
                <w:bCs/>
                <w:i w:val="false"/>
                <w:iCs w:val="false"/>
                <w:sz w:val="20"/>
                <w:szCs w:val="20"/>
                <w:u w:val="none"/>
              </w:rPr>
              <w:t xml:space="preserve"> Ausdruck“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 xml:space="preserve">wieder, wobei es besonders wichtig ist, ihren </w:t>
            </w:r>
            <w:r>
              <w:rPr>
                <w:b/>
                <w:bCs/>
                <w:i w:val="false"/>
                <w:iCs w:val="false"/>
                <w:sz w:val="20"/>
                <w:szCs w:val="20"/>
                <w:u w:val="none"/>
              </w:rPr>
              <w:t>Inhalt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 xml:space="preserve"> mitzubestimmen: </w:t>
            </w:r>
            <w:r>
              <w:rPr>
                <w:b/>
                <w:bCs/>
                <w:i w:val="false"/>
                <w:iCs w:val="false"/>
                <w:sz w:val="20"/>
                <w:szCs w:val="20"/>
                <w:u w:val="none"/>
              </w:rPr>
              <w:t xml:space="preserve">Begeisterung, Freude, Hoffnung, </w:t>
            </w:r>
            <w:r>
              <w:rPr>
                <w:b/>
                <w:bCs/>
                <w:i w:val="false"/>
                <w:iCs w:val="false"/>
                <w:sz w:val="20"/>
                <w:szCs w:val="20"/>
                <w:u w:val="none"/>
              </w:rPr>
              <w:t xml:space="preserve">Wunsch, </w:t>
            </w:r>
            <w:r>
              <w:rPr>
                <w:b/>
                <w:bCs/>
                <w:i w:val="false"/>
                <w:iCs w:val="false"/>
                <w:sz w:val="20"/>
                <w:szCs w:val="20"/>
                <w:u w:val="none"/>
              </w:rPr>
              <w:t>Sorge, Zweifel, Trauer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 xml:space="preserve"> usw.  Daneben gibt es auch wenige „echte“ Illokutionsverben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Das lyrische Ich / </w:t>
            </w:r>
            <w:r>
              <w:rPr>
                <w:b/>
                <w:bCs/>
                <w:i/>
                <w:iCs/>
                <w:sz w:val="20"/>
                <w:szCs w:val="20"/>
              </w:rPr>
              <w:t>Der Sprecher</w:t>
            </w:r>
            <w:r>
              <w:rPr>
                <w:b/>
                <w:bCs/>
                <w:i/>
                <w:iCs/>
                <w:sz w:val="20"/>
                <w:szCs w:val="20"/>
              </w:rPr>
              <w:t>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(be)klagt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trauert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jubelt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Daneben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gibt es auch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darstellende Illokutionen (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beschreiben, darstellen, </w:t>
            </w:r>
            <w:r>
              <w:rPr>
                <w:b/>
                <w:bCs/>
                <w:i/>
                <w:iCs/>
                <w:sz w:val="20"/>
                <w:szCs w:val="20"/>
              </w:rPr>
              <w:t>sich vor Augen führen, sich etwas klar machen usw.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), teilweise auch </w:t>
            </w:r>
            <w:r>
              <w:rPr>
                <w:b/>
                <w:bCs/>
                <w:i/>
                <w:iCs/>
                <w:sz w:val="20"/>
                <w:szCs w:val="20"/>
              </w:rPr>
              <w:t>berichtende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Passagen im Präteritum (z.B. bei Brecht). In der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Gedankenlyrik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finden sich Illokutionen, wie sie für argumentierende Texte typisch sind.</w:t>
            </w:r>
          </w:p>
        </w:tc>
      </w:tr>
    </w:tbl>
    <w:p>
      <w:pPr>
        <w:pStyle w:val="Textkrper"/>
        <w:spacing w:lineRule="auto" w:line="288" w:before="0" w:after="14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uppressLineNumbers/>
      <w:pBdr>
        <w:bottom w:val="single" w:sz="8" w:space="1" w:color="0171BC"/>
      </w:pBdr>
      <w:bidi w:val="0"/>
      <w:outlineLvl w:val="0"/>
      <w:outlineLvl w:val="0"/>
    </w:pPr>
    <w:rPr>
      <w:rFonts w:ascii="Liberation Serif" w:hAnsi="Liberation Serif"/>
      <w:b/>
      <w:bCs/>
      <w:caps w:val="false"/>
      <w:smallCaps w:val="false"/>
      <w:sz w:val="36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b/>
      <w:bCs/>
      <w:i w:val="false"/>
      <w:iCs/>
      <w:sz w:val="32"/>
      <w:szCs w:val="2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292</Words>
  <Characters>1733</Characters>
  <CharactersWithSpaces>1997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2018-02-17T17:33:31Z</dcterms:created>
  <dc:creator/>
  <dc:description/>
  <dc:language>de-DE</dc:language>
  <cp:lastModifiedBy/>
  <dcterms:modified xsi:type="dcterms:W3CDTF">2018-02-18T08:10:28Z</dcterms:modified>
  <cp:revision>2</cp:revision>
  <dc:subject/>
  <dc:title/>
</cp:coreProperties>
</file>