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6"/>
        <w:gridCol w:w="3583"/>
        <w:gridCol w:w="3583"/>
        <w:gridCol w:w="3743"/>
      </w:tblGrid>
      <w:tr w:rsidR="00110414" w:rsidRPr="00DC0AAF" w14:paraId="401BC31A" w14:textId="77777777" w:rsidTr="004C5EC1">
        <w:tc>
          <w:tcPr>
            <w:tcW w:w="5000" w:type="pct"/>
            <w:gridSpan w:val="4"/>
            <w:shd w:val="clear" w:color="auto" w:fill="D9D9D9"/>
            <w:vAlign w:val="center"/>
          </w:tcPr>
          <w:p w14:paraId="58689B54" w14:textId="6957E0DE" w:rsidR="00110414" w:rsidRPr="00841A95" w:rsidRDefault="00110414" w:rsidP="00E035F5">
            <w:pPr>
              <w:pStyle w:val="berschrift1"/>
              <w:rPr>
                <w:b/>
                <w:sz w:val="20"/>
              </w:rPr>
            </w:pPr>
            <w:r>
              <w:rPr>
                <w:b/>
              </w:rPr>
              <w:t>Unterrichts</w:t>
            </w:r>
            <w:r w:rsidR="00E035F5">
              <w:rPr>
                <w:b/>
              </w:rPr>
              <w:t>struktur</w:t>
            </w:r>
            <w:r w:rsidRPr="00841A95">
              <w:rPr>
                <w:b/>
              </w:rPr>
              <w:t xml:space="preserve">: </w:t>
            </w:r>
          </w:p>
        </w:tc>
      </w:tr>
      <w:tr w:rsidR="00110414" w:rsidRPr="00DC0AAF" w14:paraId="0D433572" w14:textId="77777777" w:rsidTr="004C5EC1">
        <w:tc>
          <w:tcPr>
            <w:tcW w:w="5000" w:type="pct"/>
            <w:gridSpan w:val="4"/>
            <w:shd w:val="clear" w:color="auto" w:fill="FFFFFF"/>
          </w:tcPr>
          <w:p w14:paraId="04189145" w14:textId="149658D2" w:rsidR="00110414" w:rsidRDefault="00110414" w:rsidP="00110414">
            <w:pPr>
              <w:spacing w:line="276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Vorbemerkungen zur</w:t>
            </w:r>
            <w:r w:rsidRPr="00DC0AAF">
              <w:rPr>
                <w:sz w:val="20"/>
                <w:szCs w:val="20"/>
                <w:lang w:eastAsia="de-DE"/>
              </w:rPr>
              <w:t xml:space="preserve"> Unterrichtseinheit</w:t>
            </w:r>
            <w:proofErr w:type="gramStart"/>
            <w:r w:rsidRPr="00DC0AAF">
              <w:rPr>
                <w:sz w:val="20"/>
                <w:szCs w:val="20"/>
                <w:lang w:eastAsia="de-DE"/>
              </w:rPr>
              <w:t>:</w:t>
            </w:r>
            <w:r w:rsidR="004C5EC1">
              <w:rPr>
                <w:sz w:val="20"/>
                <w:szCs w:val="20"/>
                <w:lang w:eastAsia="de-DE"/>
              </w:rPr>
              <w:t xml:space="preserve"> </w:t>
            </w:r>
            <w:r w:rsidR="0004197B">
              <w:rPr>
                <w:sz w:val="20"/>
                <w:szCs w:val="20"/>
                <w:lang w:eastAsia="de-DE"/>
              </w:rPr>
              <w:t>Die</w:t>
            </w:r>
            <w:proofErr w:type="gramEnd"/>
            <w:r w:rsidR="0004197B">
              <w:rPr>
                <w:sz w:val="20"/>
                <w:szCs w:val="20"/>
                <w:lang w:eastAsia="de-DE"/>
              </w:rPr>
              <w:t xml:space="preserve"> Erarbeitung der Teilkompetenz erfolgt exemplarisch am Beispiel des Welthandelsguts Kakao, </w:t>
            </w:r>
            <w:r w:rsidR="002922F2">
              <w:rPr>
                <w:sz w:val="20"/>
                <w:szCs w:val="20"/>
                <w:lang w:eastAsia="de-DE"/>
              </w:rPr>
              <w:t xml:space="preserve">u.a. </w:t>
            </w:r>
            <w:r w:rsidR="0004197B">
              <w:rPr>
                <w:sz w:val="20"/>
                <w:szCs w:val="20"/>
                <w:lang w:eastAsia="de-DE"/>
              </w:rPr>
              <w:t xml:space="preserve">da ein hoher lebensweltlicher Bezug besteht und zahlreiche Unterrichtsmaterialien verfügbar sind. Eine </w:t>
            </w:r>
            <w:r w:rsidR="004C5EC1">
              <w:rPr>
                <w:sz w:val="20"/>
                <w:szCs w:val="20"/>
                <w:lang w:eastAsia="de-DE"/>
              </w:rPr>
              <w:t>Einbettung</w:t>
            </w:r>
            <w:r w:rsidR="0004197B">
              <w:rPr>
                <w:sz w:val="20"/>
                <w:szCs w:val="20"/>
                <w:lang w:eastAsia="de-DE"/>
              </w:rPr>
              <w:t xml:space="preserve"> in das Raumbeispiel Tropen bietet sich somit an. Methodisch wird zur Durchführung ein </w:t>
            </w:r>
            <w:proofErr w:type="spellStart"/>
            <w:r w:rsidR="0004197B">
              <w:rPr>
                <w:sz w:val="20"/>
                <w:szCs w:val="20"/>
                <w:lang w:eastAsia="de-DE"/>
              </w:rPr>
              <w:t>Mystery</w:t>
            </w:r>
            <w:proofErr w:type="spellEnd"/>
            <w:r w:rsidR="0004197B">
              <w:rPr>
                <w:sz w:val="20"/>
                <w:szCs w:val="20"/>
                <w:lang w:eastAsia="de-DE"/>
              </w:rPr>
              <w:t xml:space="preserve"> vorgeschlagen, u.a. aufgrund der Möglichkeiten zur Differenzierung.</w:t>
            </w:r>
          </w:p>
          <w:p w14:paraId="651FBA84" w14:textId="77777777" w:rsidR="00110414" w:rsidRPr="00DC0AAF" w:rsidRDefault="00110414" w:rsidP="00110414">
            <w:pPr>
              <w:spacing w:line="276" w:lineRule="auto"/>
              <w:rPr>
                <w:sz w:val="20"/>
                <w:szCs w:val="20"/>
                <w:lang w:eastAsia="de-DE"/>
              </w:rPr>
            </w:pPr>
          </w:p>
        </w:tc>
      </w:tr>
      <w:tr w:rsidR="00AC7182" w:rsidRPr="00DC0AAF" w14:paraId="2E445E67" w14:textId="77777777" w:rsidTr="00110414">
        <w:tc>
          <w:tcPr>
            <w:tcW w:w="1248" w:type="pct"/>
            <w:shd w:val="clear" w:color="auto" w:fill="F59D1E"/>
            <w:vAlign w:val="center"/>
          </w:tcPr>
          <w:p w14:paraId="66660192" w14:textId="77777777" w:rsidR="00110414" w:rsidRPr="00DC0AAF" w:rsidRDefault="00110414" w:rsidP="004C5E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Prozessbezogene Kompetenzen</w:t>
            </w:r>
          </w:p>
        </w:tc>
        <w:tc>
          <w:tcPr>
            <w:tcW w:w="1250" w:type="pct"/>
            <w:shd w:val="clear" w:color="auto" w:fill="B70017"/>
            <w:vAlign w:val="center"/>
          </w:tcPr>
          <w:p w14:paraId="72572FDA" w14:textId="77777777" w:rsidR="00110414" w:rsidRPr="00DC0AAF" w:rsidRDefault="00110414" w:rsidP="004C5E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5D3BB07" w14:textId="77777777" w:rsidR="00110414" w:rsidRPr="00DC0AAF" w:rsidRDefault="00110414" w:rsidP="004C5E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Konkretisierung,</w:t>
            </w:r>
            <w:r w:rsidRPr="00DC0AAF">
              <w:rPr>
                <w:b/>
                <w:sz w:val="20"/>
                <w:szCs w:val="20"/>
              </w:rPr>
              <w:br/>
              <w:t>Vorgehen im Unterricht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76BAC6B1" w14:textId="77777777" w:rsidR="00110414" w:rsidRPr="00DC0AAF" w:rsidRDefault="00110414" w:rsidP="004C5E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Ergänzende Hinweise,</w:t>
            </w:r>
          </w:p>
          <w:p w14:paraId="76657B9E" w14:textId="77777777" w:rsidR="00110414" w:rsidRPr="00DC0AAF" w:rsidRDefault="00110414" w:rsidP="004C5E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0AAF">
              <w:rPr>
                <w:b/>
                <w:sz w:val="20"/>
                <w:szCs w:val="20"/>
              </w:rPr>
              <w:t>Arbeitsmittel, Organisation, Verweise</w:t>
            </w:r>
          </w:p>
        </w:tc>
      </w:tr>
      <w:tr w:rsidR="00110414" w:rsidRPr="00C1081C" w14:paraId="1161C10A" w14:textId="77777777" w:rsidTr="004C5EC1">
        <w:trPr>
          <w:trHeight w:val="53"/>
        </w:trPr>
        <w:tc>
          <w:tcPr>
            <w:tcW w:w="5000" w:type="pct"/>
            <w:gridSpan w:val="4"/>
            <w:vAlign w:val="center"/>
          </w:tcPr>
          <w:p w14:paraId="0FE64E97" w14:textId="77777777" w:rsidR="00110414" w:rsidRPr="00C1081C" w:rsidRDefault="00110414" w:rsidP="004C5EC1">
            <w:pPr>
              <w:pStyle w:val="Listenabsatz1"/>
              <w:ind w:left="0"/>
              <w:jc w:val="center"/>
              <w:rPr>
                <w:b/>
                <w:sz w:val="8"/>
                <w:szCs w:val="8"/>
                <w:lang w:eastAsia="de-DE"/>
              </w:rPr>
            </w:pPr>
          </w:p>
        </w:tc>
      </w:tr>
      <w:tr w:rsidR="00110414" w:rsidRPr="00DC0AAF" w14:paraId="5A065F7B" w14:textId="77777777" w:rsidTr="004C5EC1">
        <w:trPr>
          <w:trHeight w:val="391"/>
        </w:trPr>
        <w:tc>
          <w:tcPr>
            <w:tcW w:w="5000" w:type="pct"/>
            <w:gridSpan w:val="4"/>
            <w:vAlign w:val="center"/>
          </w:tcPr>
          <w:p w14:paraId="6E37495D" w14:textId="7876525A" w:rsidR="00110414" w:rsidRPr="00D53C09" w:rsidRDefault="00110414" w:rsidP="004C5EC1">
            <w:pPr>
              <w:pStyle w:val="Listenabsatz1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AC7182" w:rsidRPr="00DC0AAF" w14:paraId="39AC4259" w14:textId="77777777" w:rsidTr="00110414">
        <w:trPr>
          <w:trHeight w:val="391"/>
        </w:trPr>
        <w:tc>
          <w:tcPr>
            <w:tcW w:w="2498" w:type="pct"/>
            <w:gridSpan w:val="2"/>
          </w:tcPr>
          <w:p w14:paraId="4189E4B3" w14:textId="77777777" w:rsidR="00110414" w:rsidRPr="00DC0AAF" w:rsidRDefault="00110414" w:rsidP="004C5EC1">
            <w:pPr>
              <w:spacing w:line="276" w:lineRule="auto"/>
              <w:rPr>
                <w:sz w:val="20"/>
                <w:szCs w:val="20"/>
              </w:rPr>
            </w:pPr>
            <w:r w:rsidRPr="00DC0AAF">
              <w:rPr>
                <w:sz w:val="20"/>
                <w:szCs w:val="20"/>
              </w:rPr>
              <w:t>Die Schülerinnen und Schüler können</w:t>
            </w:r>
          </w:p>
        </w:tc>
        <w:tc>
          <w:tcPr>
            <w:tcW w:w="2502" w:type="pct"/>
            <w:gridSpan w:val="2"/>
            <w:tcBorders>
              <w:bottom w:val="single" w:sz="4" w:space="0" w:color="auto"/>
            </w:tcBorders>
          </w:tcPr>
          <w:p w14:paraId="621779E5" w14:textId="657BEE59" w:rsidR="00110414" w:rsidRPr="00DC0AAF" w:rsidRDefault="00110414" w:rsidP="004C5EC1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C0AAF">
              <w:rPr>
                <w:b/>
                <w:sz w:val="20"/>
                <w:szCs w:val="20"/>
              </w:rPr>
              <w:t xml:space="preserve"> </w:t>
            </w:r>
            <w:r w:rsidR="004C5EC1">
              <w:rPr>
                <w:b/>
                <w:sz w:val="20"/>
                <w:szCs w:val="20"/>
              </w:rPr>
              <w:t xml:space="preserve">bis 3 </w:t>
            </w:r>
            <w:r w:rsidRPr="00DC0AAF">
              <w:rPr>
                <w:b/>
                <w:sz w:val="20"/>
                <w:szCs w:val="20"/>
              </w:rPr>
              <w:t>Stunden</w:t>
            </w:r>
          </w:p>
        </w:tc>
      </w:tr>
      <w:tr w:rsidR="00AC7182" w:rsidRPr="00DC0AAF" w14:paraId="5EF06FC4" w14:textId="77777777" w:rsidTr="00110414">
        <w:trPr>
          <w:trHeight w:val="5505"/>
        </w:trPr>
        <w:tc>
          <w:tcPr>
            <w:tcW w:w="1248" w:type="pct"/>
          </w:tcPr>
          <w:p w14:paraId="2B279E35" w14:textId="083E12F4" w:rsidR="004E08D9" w:rsidRPr="004E08D9" w:rsidRDefault="004E08D9" w:rsidP="004E08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(</w:t>
            </w:r>
            <w:r w:rsidRPr="004E0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="006F480C" w:rsidRPr="006F480C">
              <w:rPr>
                <w:sz w:val="20"/>
                <w:szCs w:val="20"/>
              </w:rPr>
              <w:t>geographisch relev</w:t>
            </w:r>
            <w:r w:rsidR="006F480C">
              <w:rPr>
                <w:sz w:val="20"/>
                <w:szCs w:val="20"/>
              </w:rPr>
              <w:t>ante Beurteilungskriterien erlä</w:t>
            </w:r>
            <w:r w:rsidR="006F480C" w:rsidRPr="006F480C">
              <w:rPr>
                <w:sz w:val="20"/>
                <w:szCs w:val="20"/>
              </w:rPr>
              <w:t>utern</w:t>
            </w:r>
            <w:r w:rsidRPr="004E08D9">
              <w:rPr>
                <w:sz w:val="20"/>
                <w:szCs w:val="20"/>
              </w:rPr>
              <w:t xml:space="preserve">  </w:t>
            </w:r>
          </w:p>
          <w:p w14:paraId="1CFE50A5" w14:textId="280AFBF8" w:rsidR="004E08D9" w:rsidRDefault="004E08D9" w:rsidP="004E08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sz w:val="20"/>
                <w:szCs w:val="20"/>
              </w:rPr>
            </w:pPr>
            <w:r w:rsidRPr="004E08D9">
              <w:rPr>
                <w:sz w:val="20"/>
                <w:szCs w:val="20"/>
              </w:rPr>
              <w:t xml:space="preserve">2.4 </w:t>
            </w:r>
            <w:r>
              <w:rPr>
                <w:sz w:val="20"/>
                <w:szCs w:val="20"/>
              </w:rPr>
              <w:t>(2)</w:t>
            </w:r>
            <w:r w:rsidR="006F480C">
              <w:rPr>
                <w:sz w:val="20"/>
                <w:szCs w:val="20"/>
              </w:rPr>
              <w:br/>
              <w:t>eigene Handlungsmöglichkeiten gemä</w:t>
            </w:r>
            <w:r w:rsidR="006F480C" w:rsidRPr="006F480C">
              <w:rPr>
                <w:sz w:val="20"/>
                <w:szCs w:val="20"/>
              </w:rPr>
              <w:t>ß nachh</w:t>
            </w:r>
            <w:r w:rsidR="006F480C">
              <w:rPr>
                <w:sz w:val="20"/>
                <w:szCs w:val="20"/>
              </w:rPr>
              <w:t>altiger Lösungsansä</w:t>
            </w:r>
            <w:r w:rsidR="006F480C" w:rsidRPr="006F480C">
              <w:rPr>
                <w:sz w:val="20"/>
                <w:szCs w:val="20"/>
              </w:rPr>
              <w:t>tze gestalten</w:t>
            </w:r>
          </w:p>
          <w:p w14:paraId="29ED18BE" w14:textId="45AD8A0A" w:rsidR="004E08D9" w:rsidRPr="004E08D9" w:rsidRDefault="004E08D9" w:rsidP="004E08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4E0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(3)</w:t>
            </w:r>
            <w:r w:rsidRPr="004E08D9">
              <w:rPr>
                <w:sz w:val="20"/>
                <w:szCs w:val="20"/>
              </w:rPr>
              <w:t> </w:t>
            </w:r>
            <w:r w:rsidR="006F480C">
              <w:rPr>
                <w:sz w:val="20"/>
                <w:szCs w:val="20"/>
              </w:rPr>
              <w:br/>
            </w:r>
            <w:r w:rsidR="006F480C" w:rsidRPr="006F480C">
              <w:rPr>
                <w:sz w:val="20"/>
                <w:szCs w:val="20"/>
              </w:rPr>
              <w:t>auf der Grundlage inhaltlicher Auseinandersetzung ihre individu</w:t>
            </w:r>
            <w:r w:rsidR="006F480C">
              <w:rPr>
                <w:sz w:val="20"/>
                <w:szCs w:val="20"/>
              </w:rPr>
              <w:t>elle Bereitschaft zum Handeln überprü</w:t>
            </w:r>
            <w:r w:rsidR="006F480C" w:rsidRPr="006F480C">
              <w:rPr>
                <w:sz w:val="20"/>
                <w:szCs w:val="20"/>
              </w:rPr>
              <w:t>fen</w:t>
            </w:r>
          </w:p>
          <w:p w14:paraId="1814F0F3" w14:textId="2BDA998B" w:rsidR="004E08D9" w:rsidRDefault="004E08D9" w:rsidP="004E08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sz w:val="20"/>
                <w:szCs w:val="20"/>
              </w:rPr>
            </w:pPr>
            <w:r w:rsidRPr="004E08D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4E08D9">
              <w:rPr>
                <w:sz w:val="20"/>
                <w:szCs w:val="20"/>
              </w:rPr>
              <w:t xml:space="preserve"> </w:t>
            </w:r>
            <w:r w:rsidR="006F480C">
              <w:rPr>
                <w:sz w:val="20"/>
                <w:szCs w:val="20"/>
              </w:rPr>
              <w:t>(</w:t>
            </w:r>
            <w:r w:rsidRPr="004E0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="006F480C">
              <w:rPr>
                <w:sz w:val="20"/>
                <w:szCs w:val="20"/>
              </w:rPr>
              <w:br/>
              <w:t>I</w:t>
            </w:r>
            <w:r w:rsidR="006F480C" w:rsidRPr="006F480C">
              <w:rPr>
                <w:sz w:val="20"/>
                <w:szCs w:val="20"/>
              </w:rPr>
              <w:t>nformationsmaterialien (K</w:t>
            </w:r>
            <w:r w:rsidR="006F480C">
              <w:rPr>
                <w:sz w:val="20"/>
                <w:szCs w:val="20"/>
              </w:rPr>
              <w:t>arten, Profile, Diagramme, Bevö</w:t>
            </w:r>
            <w:r w:rsidR="006F480C" w:rsidRPr="006F480C">
              <w:rPr>
                <w:sz w:val="20"/>
                <w:szCs w:val="20"/>
              </w:rPr>
              <w:t>lkerungsstrukturdiagramme, Klimad</w:t>
            </w:r>
            <w:r w:rsidR="006F480C">
              <w:rPr>
                <w:sz w:val="20"/>
                <w:szCs w:val="20"/>
              </w:rPr>
              <w:t>iagramme, Statistiken, gegenstä</w:t>
            </w:r>
            <w:r w:rsidR="006F480C" w:rsidRPr="006F480C">
              <w:rPr>
                <w:sz w:val="20"/>
                <w:szCs w:val="20"/>
              </w:rPr>
              <w:t xml:space="preserve">ndliche und theoretische Modelle, Bilder, Luftbilder, </w:t>
            </w:r>
            <w:r w:rsidR="006F480C" w:rsidRPr="006F480C">
              <w:rPr>
                <w:sz w:val="20"/>
                <w:szCs w:val="20"/>
              </w:rPr>
              <w:lastRenderedPageBreak/>
              <w:t>Satellitenbilder, Filme, Karikaturen, Texte, Animationen, Simulationen) in analoger und digitaler Form unter geographischen Fragestellung</w:t>
            </w:r>
            <w:r w:rsidR="006F480C">
              <w:rPr>
                <w:sz w:val="20"/>
                <w:szCs w:val="20"/>
              </w:rPr>
              <w:t>en problem-, sach- und zielgemä</w:t>
            </w:r>
            <w:r w:rsidR="006F480C" w:rsidRPr="006F480C">
              <w:rPr>
                <w:sz w:val="20"/>
                <w:szCs w:val="20"/>
              </w:rPr>
              <w:t>ß kritisch analysieren</w:t>
            </w:r>
          </w:p>
          <w:p w14:paraId="07DB016D" w14:textId="672123A7" w:rsidR="004E08D9" w:rsidRPr="004E08D9" w:rsidRDefault="004E08D9" w:rsidP="004E08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(5)</w:t>
            </w:r>
            <w:r w:rsidRPr="004E08D9">
              <w:rPr>
                <w:sz w:val="20"/>
                <w:szCs w:val="20"/>
              </w:rPr>
              <w:t> </w:t>
            </w:r>
            <w:r w:rsidR="006F480C">
              <w:rPr>
                <w:sz w:val="20"/>
                <w:szCs w:val="20"/>
              </w:rPr>
              <w:br/>
            </w:r>
            <w:r w:rsidR="006F480C" w:rsidRPr="006F480C">
              <w:rPr>
                <w:sz w:val="20"/>
                <w:szCs w:val="20"/>
              </w:rPr>
              <w:t>geographische Informationen zur Verdeutlichung von Strukturen und Prozessen als Karte, Skizze, Diagramm, Fl</w:t>
            </w:r>
            <w:r w:rsidR="006F480C">
              <w:rPr>
                <w:sz w:val="20"/>
                <w:szCs w:val="20"/>
              </w:rPr>
              <w:t>ießschema, Profil, Wirkungsgefü</w:t>
            </w:r>
            <w:r w:rsidR="006F480C" w:rsidRPr="006F480C">
              <w:rPr>
                <w:sz w:val="20"/>
                <w:szCs w:val="20"/>
              </w:rPr>
              <w:t>ge, Mindmap und mithilfe eines geographischen Informationssystems (Desktop-GIS oder Web-GIS) darstellen</w:t>
            </w:r>
          </w:p>
          <w:p w14:paraId="207A2959" w14:textId="38D3AADE" w:rsidR="00110414" w:rsidRPr="00824A92" w:rsidRDefault="00110414" w:rsidP="00824A9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09910D15" w14:textId="615CF56F" w:rsidR="00110414" w:rsidRPr="00DE2A0C" w:rsidRDefault="00DE2A0C" w:rsidP="00CF0B04">
            <w:pPr>
              <w:rPr>
                <w:sz w:val="20"/>
                <w:szCs w:val="20"/>
              </w:rPr>
            </w:pPr>
            <w:r w:rsidRPr="00DE2A0C">
              <w:rPr>
                <w:sz w:val="20"/>
                <w:szCs w:val="20"/>
              </w:rPr>
              <w:lastRenderedPageBreak/>
              <w:t>3.2.</w:t>
            </w:r>
            <w:r w:rsidR="00CF0B04">
              <w:rPr>
                <w:sz w:val="20"/>
                <w:szCs w:val="20"/>
              </w:rPr>
              <w:t>4.1</w:t>
            </w:r>
            <w:r w:rsidRPr="00DE2A0C">
              <w:rPr>
                <w:sz w:val="20"/>
                <w:szCs w:val="20"/>
              </w:rPr>
              <w:t>(</w:t>
            </w:r>
            <w:r w:rsidR="00CF0B04">
              <w:rPr>
                <w:sz w:val="20"/>
                <w:szCs w:val="20"/>
              </w:rPr>
              <w:t>1</w:t>
            </w:r>
            <w:r w:rsidRPr="00DE2A0C">
              <w:rPr>
                <w:sz w:val="20"/>
                <w:szCs w:val="20"/>
              </w:rPr>
              <w:t>)</w:t>
            </w:r>
            <w:r w:rsidRPr="00DE2A0C">
              <w:rPr>
                <w:sz w:val="20"/>
                <w:szCs w:val="20"/>
              </w:rPr>
              <w:br/>
            </w:r>
            <w:r w:rsidR="00CF0B04" w:rsidRPr="00CF0B04">
              <w:rPr>
                <w:sz w:val="20"/>
                <w:szCs w:val="20"/>
              </w:rPr>
              <w:t xml:space="preserve">die Produktion und den Handel eines Welthandelsguts hinsichtlich der Raumwirksamkeit unter dem Aspekt der Nachhaltigkeit darstellen und die </w:t>
            </w:r>
            <w:r w:rsidR="00CF0B04">
              <w:rPr>
                <w:sz w:val="20"/>
                <w:szCs w:val="20"/>
              </w:rPr>
              <w:t>eigene Position als Konsument überprüfen (globale Warenströ</w:t>
            </w:r>
            <w:r w:rsidR="00CF0B04" w:rsidRPr="00CF0B04">
              <w:rPr>
                <w:sz w:val="20"/>
                <w:szCs w:val="20"/>
              </w:rPr>
              <w:t>me, Welthandelsgut, Konsument, nachhaltige Produktion, Fairer Handel)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1CAF98A0" w14:textId="7D310E1B" w:rsidR="00110414" w:rsidRPr="004C5EC1" w:rsidRDefault="004C5EC1" w:rsidP="004C5EC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Einstieg:</w:t>
            </w:r>
          </w:p>
          <w:p w14:paraId="7D876FD1" w14:textId="66DA3AC4" w:rsidR="00110414" w:rsidRPr="0004197B" w:rsidRDefault="004C5EC1" w:rsidP="0004197B">
            <w:pPr>
              <w:pStyle w:val="Listenabsatz"/>
              <w:numPr>
                <w:ilvl w:val="0"/>
                <w:numId w:val="4"/>
              </w:numPr>
              <w:ind w:left="276" w:hanging="276"/>
              <w:rPr>
                <w:sz w:val="20"/>
                <w:szCs w:val="20"/>
              </w:rPr>
            </w:pPr>
            <w:r w:rsidRPr="0004197B">
              <w:rPr>
                <w:sz w:val="20"/>
                <w:szCs w:val="20"/>
              </w:rPr>
              <w:t xml:space="preserve">Alternative A: Vorstellung der Ausgangsgeschichte des </w:t>
            </w:r>
            <w:proofErr w:type="spellStart"/>
            <w:r w:rsidRPr="0004197B">
              <w:rPr>
                <w:sz w:val="20"/>
                <w:szCs w:val="20"/>
              </w:rPr>
              <w:t>Mystery</w:t>
            </w:r>
            <w:proofErr w:type="spellEnd"/>
            <w:r w:rsidRPr="0004197B">
              <w:rPr>
                <w:sz w:val="20"/>
                <w:szCs w:val="20"/>
              </w:rPr>
              <w:t xml:space="preserve"> („Warum macht billige Schokolade nicht satt?“) mit Leitfrage; </w:t>
            </w:r>
            <w:r w:rsidR="002922F2">
              <w:rPr>
                <w:sz w:val="20"/>
                <w:szCs w:val="20"/>
              </w:rPr>
              <w:br/>
            </w:r>
            <w:r w:rsidRPr="0004197B">
              <w:rPr>
                <w:sz w:val="20"/>
                <w:szCs w:val="20"/>
              </w:rPr>
              <w:t>ggf. konventionelle und Fair-Trade Schokolade zur Veranschaulichung mitbringen</w:t>
            </w:r>
          </w:p>
          <w:p w14:paraId="4688A6F8" w14:textId="60DA16DA" w:rsidR="004C5EC1" w:rsidRPr="0004197B" w:rsidRDefault="004C5EC1" w:rsidP="0004197B">
            <w:pPr>
              <w:pStyle w:val="Listenabsatz"/>
              <w:numPr>
                <w:ilvl w:val="0"/>
                <w:numId w:val="4"/>
              </w:numPr>
              <w:ind w:left="276" w:hanging="276"/>
              <w:rPr>
                <w:sz w:val="20"/>
                <w:szCs w:val="20"/>
              </w:rPr>
            </w:pPr>
            <w:r w:rsidRPr="0004197B">
              <w:rPr>
                <w:sz w:val="20"/>
                <w:szCs w:val="20"/>
              </w:rPr>
              <w:t xml:space="preserve">Alternative B: Informierender Einstieg zur weltweiten Bedeutung von Kakao, Problematisierung und Hinführung zum </w:t>
            </w:r>
            <w:proofErr w:type="spellStart"/>
            <w:r w:rsidRPr="0004197B">
              <w:rPr>
                <w:sz w:val="20"/>
                <w:szCs w:val="20"/>
              </w:rPr>
              <w:t>Mystery</w:t>
            </w:r>
            <w:proofErr w:type="spellEnd"/>
          </w:p>
          <w:p w14:paraId="29AB9CA9" w14:textId="77777777" w:rsidR="004C5EC1" w:rsidRDefault="004C5EC1" w:rsidP="004C5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Erarbeitung:</w:t>
            </w:r>
          </w:p>
          <w:p w14:paraId="70048A8B" w14:textId="5D0D602C" w:rsidR="004C5EC1" w:rsidRPr="0004197B" w:rsidRDefault="004C5EC1" w:rsidP="0004197B">
            <w:pPr>
              <w:pStyle w:val="Listenabsatz"/>
              <w:numPr>
                <w:ilvl w:val="0"/>
                <w:numId w:val="4"/>
              </w:numPr>
              <w:ind w:left="276" w:hanging="276"/>
              <w:rPr>
                <w:sz w:val="20"/>
                <w:szCs w:val="20"/>
              </w:rPr>
            </w:pPr>
            <w:r w:rsidRPr="0004197B">
              <w:rPr>
                <w:sz w:val="20"/>
                <w:szCs w:val="20"/>
              </w:rPr>
              <w:t xml:space="preserve">Durchführung des </w:t>
            </w:r>
            <w:proofErr w:type="spellStart"/>
            <w:r w:rsidRPr="0004197B">
              <w:rPr>
                <w:sz w:val="20"/>
                <w:szCs w:val="20"/>
              </w:rPr>
              <w:t>Mystery</w:t>
            </w:r>
            <w:proofErr w:type="spellEnd"/>
            <w:r w:rsidRPr="0004197B">
              <w:rPr>
                <w:sz w:val="20"/>
                <w:szCs w:val="20"/>
              </w:rPr>
              <w:t xml:space="preserve"> in Gruppenarbeit (Differenzierungsmöglichkeiten)</w:t>
            </w:r>
          </w:p>
          <w:p w14:paraId="216B03A0" w14:textId="6885C9E5" w:rsidR="004C5EC1" w:rsidRPr="004C5EC1" w:rsidRDefault="004C5EC1" w:rsidP="004C5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Sicherung: </w:t>
            </w:r>
          </w:p>
          <w:p w14:paraId="52B5981B" w14:textId="77777777" w:rsidR="0004197B" w:rsidRDefault="004C5EC1" w:rsidP="0004197B">
            <w:pPr>
              <w:pStyle w:val="Listenabsatz"/>
              <w:numPr>
                <w:ilvl w:val="0"/>
                <w:numId w:val="4"/>
              </w:numPr>
              <w:ind w:left="276" w:hanging="276"/>
              <w:rPr>
                <w:sz w:val="20"/>
                <w:szCs w:val="20"/>
              </w:rPr>
            </w:pPr>
            <w:r w:rsidRPr="004C5EC1">
              <w:rPr>
                <w:sz w:val="20"/>
                <w:szCs w:val="20"/>
              </w:rPr>
              <w:t>Präsentation und Diskussion der Ergebnisse</w:t>
            </w:r>
          </w:p>
          <w:p w14:paraId="4FD997F1" w14:textId="1B991CD3" w:rsidR="00750F05" w:rsidRPr="004C5EC1" w:rsidRDefault="0004197B" w:rsidP="0004197B">
            <w:pPr>
              <w:pStyle w:val="Listenabsatz"/>
              <w:numPr>
                <w:ilvl w:val="0"/>
                <w:numId w:val="4"/>
              </w:numPr>
              <w:ind w:left="276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 des eigenen Konsumverhaltens</w:t>
            </w:r>
          </w:p>
          <w:p w14:paraId="177EFC3B" w14:textId="77777777" w:rsidR="00750F05" w:rsidRPr="00DC0AAF" w:rsidRDefault="00750F05" w:rsidP="00750F05">
            <w:pPr>
              <w:pStyle w:val="Listenabsatz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  <w:shd w:val="clear" w:color="auto" w:fill="auto"/>
          </w:tcPr>
          <w:p w14:paraId="652F5232" w14:textId="63713CAD" w:rsidR="002922F2" w:rsidRDefault="002922F2" w:rsidP="00AC7182">
            <w:pPr>
              <w:pStyle w:val="Listenabsatz2"/>
              <w:ind w:left="107" w:hanging="38"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Mytery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unter:</w:t>
            </w:r>
            <w:bookmarkStart w:id="0" w:name="_GoBack"/>
            <w:bookmarkEnd w:id="0"/>
          </w:p>
          <w:p w14:paraId="75C1C5CA" w14:textId="77777777" w:rsidR="00AC7182" w:rsidRDefault="00AC7182" w:rsidP="00AC7182">
            <w:pPr>
              <w:pStyle w:val="Listenabsatz2"/>
              <w:ind w:left="107" w:hanging="38"/>
              <w:rPr>
                <w:sz w:val="20"/>
                <w:szCs w:val="20"/>
                <w:lang w:eastAsia="de-DE"/>
              </w:rPr>
            </w:pPr>
            <w:r w:rsidRPr="00AC7182">
              <w:rPr>
                <w:sz w:val="20"/>
                <w:szCs w:val="20"/>
                <w:lang w:eastAsia="de-DE"/>
              </w:rPr>
              <w:t>http://www2.klett.de/sixcms/media.php/</w:t>
            </w:r>
          </w:p>
          <w:p w14:paraId="65494341" w14:textId="77777777" w:rsidR="00AC7182" w:rsidRDefault="00AC7182" w:rsidP="00AC7182">
            <w:pPr>
              <w:pStyle w:val="Listenabsatz2"/>
              <w:ind w:left="107" w:hanging="38"/>
              <w:rPr>
                <w:sz w:val="20"/>
                <w:szCs w:val="20"/>
                <w:lang w:eastAsia="de-DE"/>
              </w:rPr>
            </w:pPr>
            <w:r w:rsidRPr="00AC7182">
              <w:rPr>
                <w:sz w:val="20"/>
                <w:szCs w:val="20"/>
                <w:lang w:eastAsia="de-DE"/>
              </w:rPr>
              <w:t>229/999197_0011_Mystery_</w:t>
            </w:r>
          </w:p>
          <w:p w14:paraId="1CB2DEDC" w14:textId="46A5FC9D" w:rsidR="00AC7182" w:rsidRPr="00AC7182" w:rsidRDefault="00AC7182" w:rsidP="00AC7182">
            <w:pPr>
              <w:pStyle w:val="Listenabsatz2"/>
              <w:ind w:left="107" w:hanging="38"/>
              <w:rPr>
                <w:sz w:val="20"/>
                <w:szCs w:val="20"/>
                <w:lang w:eastAsia="de-DE"/>
              </w:rPr>
            </w:pPr>
            <w:r w:rsidRPr="00AC7182">
              <w:rPr>
                <w:sz w:val="20"/>
                <w:szCs w:val="20"/>
                <w:lang w:eastAsia="de-DE"/>
              </w:rPr>
              <w:t>Schokolade.pdf</w:t>
            </w:r>
          </w:p>
          <w:p w14:paraId="3331004C" w14:textId="151C5512" w:rsidR="00750F05" w:rsidRDefault="00AC7182" w:rsidP="00AC7182">
            <w:pPr>
              <w:pStyle w:val="Listenabsatz2"/>
              <w:ind w:left="107" w:hanging="38"/>
              <w:rPr>
                <w:sz w:val="20"/>
                <w:szCs w:val="20"/>
                <w:lang w:eastAsia="de-DE"/>
              </w:rPr>
            </w:pPr>
            <w:r w:rsidRPr="00AC7182">
              <w:rPr>
                <w:sz w:val="20"/>
                <w:szCs w:val="20"/>
                <w:lang w:eastAsia="de-DE"/>
              </w:rPr>
              <w:t xml:space="preserve"> </w:t>
            </w:r>
          </w:p>
          <w:p w14:paraId="79E53846" w14:textId="77777777" w:rsidR="00750F05" w:rsidRDefault="00750F05" w:rsidP="00750F05">
            <w:pPr>
              <w:pStyle w:val="Listenabsatz2"/>
              <w:ind w:left="0"/>
              <w:rPr>
                <w:sz w:val="20"/>
                <w:szCs w:val="20"/>
                <w:lang w:eastAsia="de-DE"/>
              </w:rPr>
            </w:pPr>
          </w:p>
          <w:p w14:paraId="69ACDF5F" w14:textId="77777777" w:rsidR="00750F05" w:rsidRDefault="00750F05" w:rsidP="00750F05">
            <w:pPr>
              <w:pStyle w:val="Listenabsatz2"/>
              <w:ind w:left="0"/>
              <w:rPr>
                <w:sz w:val="20"/>
                <w:szCs w:val="20"/>
                <w:lang w:eastAsia="de-DE"/>
              </w:rPr>
            </w:pPr>
          </w:p>
          <w:p w14:paraId="280228CA" w14:textId="77777777" w:rsidR="00750F05" w:rsidRDefault="00750F05" w:rsidP="00750F05">
            <w:pPr>
              <w:pStyle w:val="Listenabsatz2"/>
              <w:ind w:left="0"/>
              <w:rPr>
                <w:sz w:val="20"/>
                <w:szCs w:val="20"/>
                <w:lang w:eastAsia="de-DE"/>
              </w:rPr>
            </w:pPr>
          </w:p>
          <w:p w14:paraId="75E388B9" w14:textId="77777777" w:rsidR="00750F05" w:rsidRDefault="00750F05" w:rsidP="00750F05">
            <w:pPr>
              <w:pStyle w:val="Listenabsatz2"/>
              <w:ind w:left="0"/>
              <w:rPr>
                <w:sz w:val="20"/>
                <w:szCs w:val="20"/>
                <w:lang w:eastAsia="de-DE"/>
              </w:rPr>
            </w:pPr>
          </w:p>
          <w:p w14:paraId="35011C04" w14:textId="77777777" w:rsidR="00750F05" w:rsidRDefault="00750F05" w:rsidP="00750F05">
            <w:pPr>
              <w:pStyle w:val="Listenabsatz2"/>
              <w:ind w:left="0"/>
              <w:rPr>
                <w:sz w:val="20"/>
                <w:szCs w:val="20"/>
                <w:lang w:eastAsia="de-DE"/>
              </w:rPr>
            </w:pPr>
          </w:p>
          <w:p w14:paraId="069C9435" w14:textId="77777777" w:rsidR="00750F05" w:rsidRDefault="00750F05" w:rsidP="00750F05">
            <w:pPr>
              <w:pStyle w:val="Listenabsatz2"/>
              <w:ind w:left="0"/>
              <w:rPr>
                <w:sz w:val="20"/>
                <w:szCs w:val="20"/>
                <w:lang w:eastAsia="de-DE"/>
              </w:rPr>
            </w:pPr>
          </w:p>
          <w:p w14:paraId="3FEE650F" w14:textId="77777777" w:rsidR="00750F05" w:rsidRDefault="00750F05" w:rsidP="00750F05">
            <w:pPr>
              <w:pStyle w:val="Listenabsatz2"/>
              <w:ind w:left="0"/>
              <w:rPr>
                <w:sz w:val="20"/>
                <w:szCs w:val="20"/>
                <w:lang w:eastAsia="de-DE"/>
              </w:rPr>
            </w:pPr>
          </w:p>
          <w:p w14:paraId="7D1468D9" w14:textId="77777777" w:rsidR="004E08D9" w:rsidRDefault="004E08D9" w:rsidP="004E08D9">
            <w:pPr>
              <w:pStyle w:val="Listenabsatz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  <w:lang w:eastAsia="de-DE"/>
              </w:rPr>
              <w:t>L BNE</w:t>
            </w:r>
            <w:r w:rsidR="00750F05" w:rsidRPr="00D436C3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</w:rPr>
              <w:t>Bedeutung und Gefä</w:t>
            </w:r>
            <w:r w:rsidRPr="004E08D9">
              <w:rPr>
                <w:sz w:val="20"/>
                <w:szCs w:val="20"/>
              </w:rPr>
              <w:t>hrdungen</w:t>
            </w:r>
            <w:r>
              <w:rPr>
                <w:sz w:val="20"/>
                <w:szCs w:val="20"/>
              </w:rPr>
              <w:t xml:space="preserve"> einer nachhaltigen Entwicklung</w:t>
            </w:r>
          </w:p>
          <w:p w14:paraId="2E8F1B65" w14:textId="77777777" w:rsidR="004E08D9" w:rsidRDefault="004E08D9" w:rsidP="004E08D9">
            <w:pPr>
              <w:pStyle w:val="Listenabsatz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  <w:lang w:eastAsia="de-DE"/>
              </w:rPr>
              <w:t>L BNE</w:t>
            </w:r>
            <w:r>
              <w:rPr>
                <w:sz w:val="20"/>
                <w:szCs w:val="20"/>
              </w:rPr>
              <w:t xml:space="preserve"> </w:t>
            </w:r>
            <w:r w:rsidRPr="004E08D9">
              <w:rPr>
                <w:sz w:val="20"/>
                <w:szCs w:val="20"/>
              </w:rPr>
              <w:t xml:space="preserve">Teilhabe, Mitwirkung, Mitbestimmung </w:t>
            </w:r>
          </w:p>
          <w:p w14:paraId="1C290982" w14:textId="6006FA79" w:rsidR="004E08D9" w:rsidRPr="004E08D9" w:rsidRDefault="004E08D9" w:rsidP="004E08D9">
            <w:pPr>
              <w:pStyle w:val="Listenabsatz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  <w:lang w:eastAsia="de-DE"/>
              </w:rPr>
              <w:t>L BO</w:t>
            </w:r>
            <w:r w:rsidRPr="004E08D9">
              <w:rPr>
                <w:sz w:val="20"/>
                <w:szCs w:val="20"/>
              </w:rPr>
              <w:t xml:space="preserve"> Fachspezifisch</w:t>
            </w:r>
            <w:r>
              <w:rPr>
                <w:sz w:val="20"/>
                <w:szCs w:val="20"/>
              </w:rPr>
              <w:t>e und handlungsorientierte Zugä</w:t>
            </w:r>
            <w:r w:rsidRPr="004E08D9">
              <w:rPr>
                <w:sz w:val="20"/>
                <w:szCs w:val="20"/>
              </w:rPr>
              <w:t>nge zur Arbeits- und Berufswelt</w:t>
            </w:r>
          </w:p>
          <w:p w14:paraId="7D9F2F8F" w14:textId="58D3D914" w:rsidR="00110414" w:rsidRPr="004F23C3" w:rsidRDefault="004E08D9" w:rsidP="004E08D9">
            <w:pPr>
              <w:pStyle w:val="Listenabsatz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  <w:lang w:eastAsia="de-DE"/>
              </w:rPr>
              <w:t>L VB</w:t>
            </w:r>
            <w:r>
              <w:rPr>
                <w:sz w:val="20"/>
                <w:szCs w:val="20"/>
              </w:rPr>
              <w:t xml:space="preserve"> Bedü</w:t>
            </w:r>
            <w:r w:rsidRPr="004E08D9">
              <w:rPr>
                <w:sz w:val="20"/>
                <w:szCs w:val="20"/>
              </w:rPr>
              <w:t>rfn</w:t>
            </w:r>
            <w:r>
              <w:rPr>
                <w:sz w:val="20"/>
                <w:szCs w:val="20"/>
              </w:rPr>
              <w:t>isse und Wü</w:t>
            </w:r>
            <w:r w:rsidRPr="004E08D9">
              <w:rPr>
                <w:sz w:val="20"/>
                <w:szCs w:val="20"/>
              </w:rPr>
              <w:t>nsche</w:t>
            </w:r>
          </w:p>
        </w:tc>
      </w:tr>
      <w:tr w:rsidR="00110414" w:rsidRPr="00C1081C" w14:paraId="1F4FA8BC" w14:textId="77777777" w:rsidTr="004C5EC1">
        <w:trPr>
          <w:trHeight w:val="53"/>
        </w:trPr>
        <w:tc>
          <w:tcPr>
            <w:tcW w:w="5000" w:type="pct"/>
            <w:gridSpan w:val="4"/>
            <w:vAlign w:val="center"/>
          </w:tcPr>
          <w:p w14:paraId="48FCA4EB" w14:textId="2176E040" w:rsidR="00110414" w:rsidRPr="00C1081C" w:rsidRDefault="00110414" w:rsidP="004C5EC1">
            <w:pPr>
              <w:pStyle w:val="Listenabsatz1"/>
              <w:ind w:left="0"/>
              <w:jc w:val="center"/>
              <w:rPr>
                <w:b/>
                <w:sz w:val="8"/>
                <w:szCs w:val="20"/>
                <w:lang w:eastAsia="de-DE"/>
              </w:rPr>
            </w:pPr>
          </w:p>
        </w:tc>
      </w:tr>
      <w:tr w:rsidR="00110414" w:rsidRPr="00DC0AAF" w14:paraId="488D9322" w14:textId="77777777" w:rsidTr="004C5EC1">
        <w:trPr>
          <w:trHeight w:val="391"/>
        </w:trPr>
        <w:tc>
          <w:tcPr>
            <w:tcW w:w="5000" w:type="pct"/>
            <w:gridSpan w:val="4"/>
            <w:vAlign w:val="center"/>
          </w:tcPr>
          <w:p w14:paraId="4E08F436" w14:textId="77777777" w:rsidR="00110414" w:rsidRPr="00D53C09" w:rsidRDefault="00110414" w:rsidP="004C5EC1">
            <w:pPr>
              <w:pStyle w:val="Listenabsatz1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AC7182" w:rsidRPr="00DC0AAF" w14:paraId="7C7DD2CD" w14:textId="77777777" w:rsidTr="00110414">
        <w:trPr>
          <w:trHeight w:val="7895"/>
        </w:trPr>
        <w:tc>
          <w:tcPr>
            <w:tcW w:w="1248" w:type="pct"/>
            <w:shd w:val="clear" w:color="auto" w:fill="auto"/>
          </w:tcPr>
          <w:p w14:paraId="069CF85B" w14:textId="2BDE7592" w:rsidR="00501CC2" w:rsidRDefault="00501CC2" w:rsidP="00501CC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eastAsiaTheme="minorHAnsi" w:hAnsi="Times" w:cs="Times"/>
                <w:szCs w:val="24"/>
              </w:rPr>
            </w:pPr>
          </w:p>
          <w:p w14:paraId="66B91185" w14:textId="02EE329B" w:rsidR="00110414" w:rsidRPr="003356CF" w:rsidRDefault="00110414" w:rsidP="0011041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1F800" w14:textId="77777777" w:rsidR="00110414" w:rsidRPr="003356CF" w:rsidRDefault="00110414" w:rsidP="00CA34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40C4A" w14:textId="77777777" w:rsidR="00110414" w:rsidRPr="00DC0AAF" w:rsidRDefault="00110414" w:rsidP="004C5EC1">
            <w:pPr>
              <w:rPr>
                <w:b/>
                <w:bCs/>
                <w:iCs/>
                <w:sz w:val="20"/>
                <w:szCs w:val="20"/>
              </w:rPr>
            </w:pPr>
          </w:p>
          <w:p w14:paraId="6C88491F" w14:textId="77777777" w:rsidR="00110414" w:rsidRPr="003356CF" w:rsidRDefault="00110414" w:rsidP="004C5EC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A2D16" w14:textId="77777777" w:rsidR="00110414" w:rsidRPr="003356CF" w:rsidRDefault="00110414" w:rsidP="004C5EC1">
            <w:pPr>
              <w:pStyle w:val="Listenabsatz1"/>
              <w:ind w:left="0"/>
              <w:rPr>
                <w:iCs/>
                <w:sz w:val="20"/>
                <w:szCs w:val="20"/>
              </w:rPr>
            </w:pPr>
          </w:p>
          <w:p w14:paraId="3AF8F939" w14:textId="7FEFF0E5" w:rsidR="00110414" w:rsidRPr="00A827BF" w:rsidRDefault="00110414" w:rsidP="00CA34D5">
            <w:pPr>
              <w:rPr>
                <w:iCs/>
                <w:sz w:val="20"/>
                <w:szCs w:val="20"/>
              </w:rPr>
            </w:pPr>
          </w:p>
        </w:tc>
      </w:tr>
      <w:tr w:rsidR="00110414" w:rsidRPr="00DC0AAF" w14:paraId="44F37DA3" w14:textId="77777777" w:rsidTr="004C5EC1">
        <w:trPr>
          <w:trHeight w:val="391"/>
        </w:trPr>
        <w:tc>
          <w:tcPr>
            <w:tcW w:w="5000" w:type="pct"/>
            <w:gridSpan w:val="4"/>
            <w:vAlign w:val="center"/>
          </w:tcPr>
          <w:p w14:paraId="020CED2D" w14:textId="77777777" w:rsidR="00110414" w:rsidRPr="00D53C09" w:rsidRDefault="00110414" w:rsidP="004C5EC1">
            <w:pPr>
              <w:pStyle w:val="Listenabsatz1"/>
              <w:ind w:left="0"/>
              <w:jc w:val="center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AC7182" w:rsidRPr="00DC0AAF" w14:paraId="02481E56" w14:textId="77777777" w:rsidTr="004C5EC1">
        <w:trPr>
          <w:trHeight w:val="391"/>
        </w:trPr>
        <w:tc>
          <w:tcPr>
            <w:tcW w:w="2498" w:type="pct"/>
            <w:gridSpan w:val="2"/>
          </w:tcPr>
          <w:p w14:paraId="4C27A916" w14:textId="77777777" w:rsidR="00110414" w:rsidRPr="003356CF" w:rsidRDefault="00110414" w:rsidP="004C5EC1">
            <w:pPr>
              <w:spacing w:line="276" w:lineRule="auto"/>
              <w:rPr>
                <w:sz w:val="20"/>
                <w:szCs w:val="20"/>
              </w:rPr>
            </w:pPr>
            <w:r w:rsidRPr="003356CF">
              <w:rPr>
                <w:sz w:val="20"/>
                <w:szCs w:val="20"/>
              </w:rPr>
              <w:t>Die Schülerinnen und Schüler können</w:t>
            </w:r>
          </w:p>
        </w:tc>
        <w:tc>
          <w:tcPr>
            <w:tcW w:w="2502" w:type="pct"/>
            <w:gridSpan w:val="2"/>
          </w:tcPr>
          <w:p w14:paraId="288E9DCA" w14:textId="77777777" w:rsidR="00110414" w:rsidRPr="003356CF" w:rsidRDefault="00110414" w:rsidP="004C5EC1">
            <w:pPr>
              <w:pStyle w:val="Listenabsatz1"/>
              <w:ind w:left="0"/>
              <w:rPr>
                <w:sz w:val="20"/>
                <w:szCs w:val="20"/>
                <w:lang w:eastAsia="de-DE"/>
              </w:rPr>
            </w:pPr>
            <w:r w:rsidRPr="003356CF">
              <w:rPr>
                <w:b/>
                <w:sz w:val="20"/>
                <w:szCs w:val="20"/>
              </w:rPr>
              <w:t>4 Stunden</w:t>
            </w:r>
          </w:p>
        </w:tc>
      </w:tr>
      <w:tr w:rsidR="00AC7182" w:rsidRPr="00DC0AAF" w14:paraId="64E8E73C" w14:textId="77777777" w:rsidTr="004C5EC1">
        <w:trPr>
          <w:trHeight w:val="4549"/>
        </w:trPr>
        <w:tc>
          <w:tcPr>
            <w:tcW w:w="1248" w:type="pct"/>
            <w:shd w:val="clear" w:color="auto" w:fill="auto"/>
          </w:tcPr>
          <w:p w14:paraId="23C07574" w14:textId="2A6F9FA6" w:rsidR="00110414" w:rsidRPr="003356CF" w:rsidRDefault="00110414" w:rsidP="00CA34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9D10" w14:textId="77777777" w:rsidR="00110414" w:rsidRPr="003356CF" w:rsidRDefault="00110414" w:rsidP="00CA34D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448F3" w14:textId="77777777" w:rsidR="00110414" w:rsidRPr="00DC0AAF" w:rsidRDefault="00110414" w:rsidP="004C5EC1">
            <w:pPr>
              <w:rPr>
                <w:b/>
                <w:bCs/>
                <w:iCs/>
                <w:sz w:val="20"/>
                <w:szCs w:val="20"/>
              </w:rPr>
            </w:pPr>
          </w:p>
          <w:p w14:paraId="198F7FD3" w14:textId="77777777" w:rsidR="00110414" w:rsidRPr="003356CF" w:rsidRDefault="00110414" w:rsidP="004C5EC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78A8F" w14:textId="77777777" w:rsidR="00110414" w:rsidRPr="003356CF" w:rsidRDefault="00110414" w:rsidP="004C5EC1">
            <w:pPr>
              <w:pStyle w:val="Listenabsatz1"/>
              <w:ind w:left="0"/>
              <w:rPr>
                <w:iCs/>
                <w:sz w:val="20"/>
                <w:szCs w:val="20"/>
              </w:rPr>
            </w:pPr>
          </w:p>
          <w:p w14:paraId="54FB5FAC" w14:textId="77777777" w:rsidR="00110414" w:rsidRPr="00DC0AAF" w:rsidRDefault="00110414" w:rsidP="004C5EC1">
            <w:pPr>
              <w:pStyle w:val="Listenabsatz1"/>
              <w:ind w:left="0"/>
              <w:rPr>
                <w:iCs/>
                <w:sz w:val="20"/>
                <w:szCs w:val="20"/>
              </w:rPr>
            </w:pPr>
          </w:p>
          <w:p w14:paraId="4A922D83" w14:textId="77777777" w:rsidR="00110414" w:rsidRPr="00A827BF" w:rsidRDefault="00110414" w:rsidP="00CA34D5">
            <w:pPr>
              <w:widowControl w:val="0"/>
              <w:autoSpaceDE w:val="0"/>
              <w:autoSpaceDN w:val="0"/>
              <w:adjustRightInd w:val="0"/>
              <w:spacing w:after="240"/>
              <w:rPr>
                <w:iCs/>
                <w:sz w:val="20"/>
                <w:szCs w:val="20"/>
              </w:rPr>
            </w:pPr>
          </w:p>
        </w:tc>
      </w:tr>
    </w:tbl>
    <w:p w14:paraId="55FBD12C" w14:textId="77777777" w:rsidR="004C5EC1" w:rsidRDefault="004C5EC1"/>
    <w:sectPr w:rsidR="004C5EC1" w:rsidSect="00110414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A42BC6"/>
    <w:multiLevelType w:val="hybridMultilevel"/>
    <w:tmpl w:val="A4802CDE"/>
    <w:lvl w:ilvl="0" w:tplc="8BA4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EC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A6B3D"/>
    <w:multiLevelType w:val="hybridMultilevel"/>
    <w:tmpl w:val="A75E645A"/>
    <w:lvl w:ilvl="0" w:tplc="F430908C">
      <w:start w:val="1"/>
      <w:numFmt w:val="bullet"/>
      <w:lvlText w:val="-"/>
      <w:lvlJc w:val="left"/>
      <w:pPr>
        <w:ind w:left="85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356C3B47"/>
    <w:multiLevelType w:val="hybridMultilevel"/>
    <w:tmpl w:val="9A263A20"/>
    <w:lvl w:ilvl="0" w:tplc="F43090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71064"/>
    <w:multiLevelType w:val="hybridMultilevel"/>
    <w:tmpl w:val="C00C0D32"/>
    <w:lvl w:ilvl="0" w:tplc="7624BEA8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14"/>
    <w:rsid w:val="0004197B"/>
    <w:rsid w:val="00110414"/>
    <w:rsid w:val="00266134"/>
    <w:rsid w:val="002922F2"/>
    <w:rsid w:val="004C5EC1"/>
    <w:rsid w:val="004E08D9"/>
    <w:rsid w:val="00501CC2"/>
    <w:rsid w:val="005B18A1"/>
    <w:rsid w:val="006F480C"/>
    <w:rsid w:val="00750F05"/>
    <w:rsid w:val="00824A92"/>
    <w:rsid w:val="00A90C5C"/>
    <w:rsid w:val="00AC7182"/>
    <w:rsid w:val="00C21CB0"/>
    <w:rsid w:val="00CA34D5"/>
    <w:rsid w:val="00CF0B04"/>
    <w:rsid w:val="00DE2A0C"/>
    <w:rsid w:val="00E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B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414"/>
    <w:rPr>
      <w:rFonts w:ascii="Arial" w:eastAsia="Times New Roman" w:hAnsi="Arial" w:cs="Arial"/>
      <w:szCs w:val="22"/>
    </w:rPr>
  </w:style>
  <w:style w:type="paragraph" w:styleId="berschrift1">
    <w:name w:val="heading 1"/>
    <w:basedOn w:val="Standard"/>
    <w:next w:val="Standard"/>
    <w:link w:val="berschrift1Zeichen"/>
    <w:qFormat/>
    <w:rsid w:val="00110414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110414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110414"/>
    <w:pPr>
      <w:ind w:left="720"/>
      <w:contextualSpacing/>
    </w:pPr>
  </w:style>
  <w:style w:type="character" w:styleId="Link">
    <w:name w:val="Hyperlink"/>
    <w:uiPriority w:val="99"/>
    <w:rsid w:val="00110414"/>
    <w:rPr>
      <w:rFonts w:cs="Times New Roman"/>
      <w:color w:val="0000FF"/>
      <w:u w:val="single"/>
    </w:rPr>
  </w:style>
  <w:style w:type="paragraph" w:customStyle="1" w:styleId="Listenabsatz2">
    <w:name w:val="Listenabsatz2"/>
    <w:basedOn w:val="Standard"/>
    <w:rsid w:val="00750F05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4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414"/>
    <w:rPr>
      <w:rFonts w:ascii="Arial" w:eastAsia="Times New Roman" w:hAnsi="Arial" w:cs="Arial"/>
      <w:szCs w:val="22"/>
    </w:rPr>
  </w:style>
  <w:style w:type="paragraph" w:styleId="berschrift1">
    <w:name w:val="heading 1"/>
    <w:basedOn w:val="Standard"/>
    <w:next w:val="Standard"/>
    <w:link w:val="berschrift1Zeichen"/>
    <w:qFormat/>
    <w:rsid w:val="00110414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110414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110414"/>
    <w:pPr>
      <w:ind w:left="720"/>
      <w:contextualSpacing/>
    </w:pPr>
  </w:style>
  <w:style w:type="character" w:styleId="Link">
    <w:name w:val="Hyperlink"/>
    <w:uiPriority w:val="99"/>
    <w:rsid w:val="00110414"/>
    <w:rPr>
      <w:rFonts w:cs="Times New Roman"/>
      <w:color w:val="0000FF"/>
      <w:u w:val="single"/>
    </w:rPr>
  </w:style>
  <w:style w:type="paragraph" w:customStyle="1" w:styleId="Listenabsatz2">
    <w:name w:val="Listenabsatz2"/>
    <w:basedOn w:val="Standard"/>
    <w:rsid w:val="00750F05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4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Scholliers</dc:creator>
  <cp:keywords/>
  <dc:description/>
  <cp:lastModifiedBy>ATh</cp:lastModifiedBy>
  <cp:revision>5</cp:revision>
  <dcterms:created xsi:type="dcterms:W3CDTF">2016-06-29T08:47:00Z</dcterms:created>
  <dcterms:modified xsi:type="dcterms:W3CDTF">2016-07-04T08:59:00Z</dcterms:modified>
</cp:coreProperties>
</file>