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4E416" w14:textId="00DB7AC3" w:rsidR="00452ACD" w:rsidRDefault="00F470B4" w:rsidP="00452ACD">
      <w:pPr>
        <w:jc w:val="center"/>
        <w:rPr>
          <w:bCs/>
          <w:sz w:val="32"/>
          <w:szCs w:val="28"/>
        </w:rPr>
      </w:pPr>
      <w:r>
        <w:rPr>
          <w:bCs/>
          <w:sz w:val="32"/>
          <w:szCs w:val="28"/>
        </w:rPr>
        <w:t>Standortfaktoren und Standortentscheidungen</w:t>
      </w:r>
    </w:p>
    <w:p w14:paraId="7F012F54" w14:textId="6786ABE4" w:rsidR="00F470B4" w:rsidRPr="00452ACD" w:rsidRDefault="00F470B4" w:rsidP="00452ACD">
      <w:pPr>
        <w:jc w:val="center"/>
        <w:rPr>
          <w:bCs/>
          <w:sz w:val="32"/>
          <w:szCs w:val="28"/>
        </w:rPr>
      </w:pPr>
      <w:r>
        <w:rPr>
          <w:bCs/>
          <w:sz w:val="32"/>
          <w:szCs w:val="28"/>
        </w:rPr>
        <w:t xml:space="preserve">am Beispiel Apple, </w:t>
      </w:r>
      <w:proofErr w:type="spellStart"/>
      <w:r>
        <w:rPr>
          <w:bCs/>
          <w:sz w:val="32"/>
          <w:szCs w:val="28"/>
        </w:rPr>
        <w:t>Cupertino</w:t>
      </w:r>
      <w:proofErr w:type="spellEnd"/>
    </w:p>
    <w:p w14:paraId="61B98E82" w14:textId="30EFAD27" w:rsidR="00452ACD" w:rsidRDefault="00452ACD">
      <w:pPr>
        <w:rPr>
          <w:bCs/>
        </w:rPr>
      </w:pPr>
    </w:p>
    <w:p w14:paraId="28A95579" w14:textId="0340CDBD" w:rsidR="006C63FD" w:rsidRDefault="006C63FD">
      <w:pPr>
        <w:rPr>
          <w:bCs/>
        </w:rPr>
      </w:pPr>
    </w:p>
    <w:p w14:paraId="743452DE" w14:textId="5A8CE059" w:rsidR="00491880" w:rsidRDefault="006C63FD" w:rsidP="00E36DF8">
      <w:pPr>
        <w:tabs>
          <w:tab w:val="left" w:pos="426"/>
        </w:tabs>
        <w:jc w:val="both"/>
      </w:pPr>
      <w:r>
        <w:t>1.</w:t>
      </w:r>
      <w:r>
        <w:tab/>
      </w:r>
      <w:r w:rsidR="00491880">
        <w:t xml:space="preserve">Apple wurde 1976 als Garagenfirma in Los Altos gegründet und verlagerte 1977 seinen </w:t>
      </w:r>
      <w:r w:rsidR="00491880">
        <w:tab/>
        <w:t xml:space="preserve">Standort nach </w:t>
      </w:r>
      <w:proofErr w:type="spellStart"/>
      <w:r w:rsidR="00491880">
        <w:t>Cupertino</w:t>
      </w:r>
      <w:proofErr w:type="spellEnd"/>
      <w:r w:rsidR="00491880">
        <w:t xml:space="preserve">. Beurteilen </w:t>
      </w:r>
      <w:r>
        <w:t>Sie mit Hilfe von M1 bis M</w:t>
      </w:r>
      <w:r w:rsidR="008D0D74">
        <w:t>3</w:t>
      </w:r>
      <w:r>
        <w:t xml:space="preserve"> </w:t>
      </w:r>
      <w:r w:rsidR="009756B1">
        <w:t>und geeigneter Atlas</w:t>
      </w:r>
      <w:r w:rsidR="00302796">
        <w:t>-</w:t>
      </w:r>
      <w:r w:rsidR="00491880">
        <w:tab/>
      </w:r>
      <w:proofErr w:type="spellStart"/>
      <w:r w:rsidR="009756B1">
        <w:t>karten</w:t>
      </w:r>
      <w:proofErr w:type="spellEnd"/>
      <w:r w:rsidR="00491880">
        <w:t>, ob dies eine sinnvolle Entscheidung war.</w:t>
      </w:r>
    </w:p>
    <w:p w14:paraId="64B292F1" w14:textId="77777777" w:rsidR="00491880" w:rsidRDefault="00491880" w:rsidP="00E36DF8">
      <w:pPr>
        <w:tabs>
          <w:tab w:val="left" w:pos="426"/>
        </w:tabs>
        <w:jc w:val="both"/>
      </w:pPr>
    </w:p>
    <w:p w14:paraId="024E3218" w14:textId="7D91D336" w:rsidR="00C4170E" w:rsidRDefault="006C63FD" w:rsidP="00E36DF8">
      <w:pPr>
        <w:tabs>
          <w:tab w:val="left" w:pos="426"/>
        </w:tabs>
        <w:jc w:val="both"/>
      </w:pPr>
      <w:r>
        <w:t>2.</w:t>
      </w:r>
      <w:r>
        <w:tab/>
      </w:r>
      <w:r w:rsidR="006B4637">
        <w:t xml:space="preserve">Vergleichen </w:t>
      </w:r>
      <w:r w:rsidR="00C4170E">
        <w:t xml:space="preserve">Sie anhand der von Ihnen </w:t>
      </w:r>
      <w:r w:rsidR="00E36DF8">
        <w:t xml:space="preserve">mit </w:t>
      </w:r>
      <w:r w:rsidR="00F21B10">
        <w:t xml:space="preserve">fünf </w:t>
      </w:r>
      <w:r w:rsidR="00E36DF8">
        <w:t xml:space="preserve">geeigneten </w:t>
      </w:r>
      <w:r w:rsidR="007D4DFD">
        <w:t>Indikatoren</w:t>
      </w:r>
      <w:r w:rsidR="00E36DF8">
        <w:t xml:space="preserve"> aus M4 ergänz</w:t>
      </w:r>
      <w:r w:rsidR="004D7AF3">
        <w:t>-</w:t>
      </w:r>
      <w:r w:rsidR="00F21B10">
        <w:tab/>
      </w:r>
      <w:proofErr w:type="spellStart"/>
      <w:r w:rsidR="00E36DF8">
        <w:t>ten</w:t>
      </w:r>
      <w:proofErr w:type="spellEnd"/>
      <w:r w:rsidR="00E36DF8">
        <w:t xml:space="preserve"> </w:t>
      </w:r>
      <w:r w:rsidR="00C4170E">
        <w:t xml:space="preserve">Analysespinne </w:t>
      </w:r>
      <w:r w:rsidR="007D4DFD">
        <w:t xml:space="preserve">(M5) </w:t>
      </w:r>
      <w:r w:rsidR="00C4170E">
        <w:t>die Eignung</w:t>
      </w:r>
      <w:r w:rsidR="00E36DF8">
        <w:t xml:space="preserve"> </w:t>
      </w:r>
      <w:r w:rsidR="00C4170E">
        <w:t xml:space="preserve">des Standortes </w:t>
      </w:r>
      <w:proofErr w:type="spellStart"/>
      <w:r w:rsidR="00C4170E">
        <w:t>Cupertino</w:t>
      </w:r>
      <w:proofErr w:type="spellEnd"/>
      <w:r w:rsidR="00C4170E">
        <w:t xml:space="preserve"> </w:t>
      </w:r>
      <w:r w:rsidR="006B4637">
        <w:t xml:space="preserve">mit dem Standort </w:t>
      </w:r>
      <w:r w:rsidR="00E36DF8">
        <w:t>Austin</w:t>
      </w:r>
      <w:r w:rsidR="006B4637">
        <w:t xml:space="preserve"> </w:t>
      </w:r>
      <w:r w:rsidR="00F21B10">
        <w:tab/>
      </w:r>
      <w:r w:rsidR="00C4170E">
        <w:t>aus der</w:t>
      </w:r>
      <w:r w:rsidR="00E36DF8">
        <w:t xml:space="preserve"> </w:t>
      </w:r>
      <w:r w:rsidR="00C4170E">
        <w:t>Sicht eines Unternehmens</w:t>
      </w:r>
      <w:r w:rsidR="00E36DF8">
        <w:t xml:space="preserve"> d</w:t>
      </w:r>
      <w:r w:rsidR="00C4170E">
        <w:t xml:space="preserve">er </w:t>
      </w:r>
      <w:r w:rsidR="00292FA2">
        <w:t>IT-Branche</w:t>
      </w:r>
      <w:r w:rsidR="00C4170E">
        <w:t>.</w:t>
      </w:r>
    </w:p>
    <w:p w14:paraId="490FD27B" w14:textId="6D9D3055" w:rsidR="00DC0C7B" w:rsidRDefault="00DC0C7B" w:rsidP="00DC0C7B"/>
    <w:p w14:paraId="42540DFC" w14:textId="77777777" w:rsidR="00DC26CB" w:rsidRDefault="00DC26CB" w:rsidP="00DC0C7B"/>
    <w:p w14:paraId="7F0A94FE" w14:textId="1F0DB233" w:rsidR="00DC0C7B" w:rsidRDefault="00DC0C7B" w:rsidP="006C63FD">
      <w:pPr>
        <w:pBdr>
          <w:top w:val="single" w:sz="4" w:space="6" w:color="auto"/>
          <w:left w:val="single" w:sz="4" w:space="4" w:color="auto"/>
          <w:bottom w:val="single" w:sz="4" w:space="6" w:color="auto"/>
          <w:right w:val="single" w:sz="4" w:space="4" w:color="auto"/>
        </w:pBdr>
        <w:shd w:val="pct20" w:color="auto" w:fill="auto"/>
        <w:ind w:left="142"/>
      </w:pPr>
      <w:r>
        <w:t xml:space="preserve">M1 </w:t>
      </w:r>
      <w:r w:rsidR="00C26CED">
        <w:t xml:space="preserve">– </w:t>
      </w:r>
      <w:r>
        <w:t>Infobox - Standortfaktor</w:t>
      </w:r>
      <w:r w:rsidR="006C63FD">
        <w:t>en</w:t>
      </w:r>
    </w:p>
    <w:p w14:paraId="5402CC15" w14:textId="77777777" w:rsidR="00DC0C7B" w:rsidRDefault="00DC0C7B" w:rsidP="006C63FD">
      <w:pPr>
        <w:pBdr>
          <w:top w:val="single" w:sz="4" w:space="6" w:color="auto"/>
          <w:left w:val="single" w:sz="4" w:space="4" w:color="auto"/>
          <w:bottom w:val="single" w:sz="4" w:space="6" w:color="auto"/>
          <w:right w:val="single" w:sz="4" w:space="4" w:color="auto"/>
        </w:pBdr>
        <w:shd w:val="pct20" w:color="auto" w:fill="auto"/>
        <w:ind w:left="142"/>
      </w:pPr>
    </w:p>
    <w:p w14:paraId="0A5C2C8E" w14:textId="170705AB" w:rsidR="00DC0C7B" w:rsidRDefault="006C63FD" w:rsidP="00E36DF8">
      <w:pPr>
        <w:pBdr>
          <w:top w:val="single" w:sz="4" w:space="6" w:color="auto"/>
          <w:left w:val="single" w:sz="4" w:space="4" w:color="auto"/>
          <w:bottom w:val="single" w:sz="4" w:space="6" w:color="auto"/>
          <w:right w:val="single" w:sz="4" w:space="4" w:color="auto"/>
        </w:pBdr>
        <w:shd w:val="pct20" w:color="auto" w:fill="auto"/>
        <w:ind w:left="142"/>
        <w:jc w:val="both"/>
      </w:pPr>
      <w:r>
        <w:t xml:space="preserve">Standortfaktoren sind </w:t>
      </w:r>
      <w:r w:rsidR="00DC0C7B">
        <w:t xml:space="preserve">Einflussgrößen, die bei der Auswahl </w:t>
      </w:r>
      <w:r>
        <w:t>des</w:t>
      </w:r>
      <w:r w:rsidR="00DC0C7B">
        <w:t xml:space="preserve"> Unternehmen</w:t>
      </w:r>
      <w:r>
        <w:t>sstandortes</w:t>
      </w:r>
      <w:r w:rsidR="00DC0C7B">
        <w:t xml:space="preserve"> eine wichtige Rolle spielen. Man unterscheidet harte Standortfaktoren </w:t>
      </w:r>
      <w:r>
        <w:t xml:space="preserve">(z. B. </w:t>
      </w:r>
      <w:r w:rsidR="00DC0C7B">
        <w:t>Infrastruktur, Arbeitskräftepotential</w:t>
      </w:r>
      <w:r>
        <w:t>,</w:t>
      </w:r>
      <w:r w:rsidR="00DC0C7B">
        <w:t xml:space="preserve"> Lohnniveau</w:t>
      </w:r>
      <w:r>
        <w:t>)</w:t>
      </w:r>
      <w:r w:rsidR="00DC0C7B">
        <w:t xml:space="preserve"> von weichen Standortfaktoren</w:t>
      </w:r>
      <w:r>
        <w:t xml:space="preserve"> (z. B. </w:t>
      </w:r>
      <w:r w:rsidR="00DC0C7B">
        <w:t>Freizeitangebot, Image des Standortes</w:t>
      </w:r>
      <w:r>
        <w:t xml:space="preserve">, </w:t>
      </w:r>
      <w:r w:rsidR="0067564F">
        <w:t>Schulen</w:t>
      </w:r>
      <w:r>
        <w:t>)</w:t>
      </w:r>
      <w:r w:rsidR="00DC0C7B">
        <w:t>.</w:t>
      </w:r>
      <w:r w:rsidR="00F470B4">
        <w:t xml:space="preserve"> Harte Standortfaktoren sind quantifizierbar und </w:t>
      </w:r>
      <w:r w:rsidR="00B24124">
        <w:t>wirken sich auf</w:t>
      </w:r>
      <w:r w:rsidR="00F470B4">
        <w:t xml:space="preserve"> die Kostenrechnung des Unternehmens </w:t>
      </w:r>
      <w:r w:rsidR="00B24124">
        <w:t>aus. Weiche Standortfaktoren wirken sich nicht auf die Kostenrechnung des Unternehmens aus, sind also schwerer messbar aber zum Beispiel für die Gewinnung qualifizierter Mitarbeiter von Bedeutung. Eine strikte Trennung zwischen harten und weichen Standortfaktoren ist nicht immer möglich und je nach Branche des Unternehmens können die Faktoren anders gewichtet werden.</w:t>
      </w:r>
    </w:p>
    <w:p w14:paraId="0D25FEC8" w14:textId="7F47CBE5" w:rsidR="00DC0C7B" w:rsidRPr="006C63FD" w:rsidRDefault="00DC0C7B" w:rsidP="006C63FD">
      <w:pPr>
        <w:pBdr>
          <w:top w:val="single" w:sz="4" w:space="6" w:color="auto"/>
          <w:left w:val="single" w:sz="4" w:space="4" w:color="auto"/>
          <w:bottom w:val="single" w:sz="4" w:space="6" w:color="auto"/>
          <w:right w:val="single" w:sz="4" w:space="4" w:color="auto"/>
        </w:pBdr>
        <w:shd w:val="pct20" w:color="auto" w:fill="auto"/>
        <w:ind w:left="142"/>
        <w:rPr>
          <w:i/>
          <w:iCs/>
          <w:sz w:val="18"/>
          <w:szCs w:val="18"/>
        </w:rPr>
      </w:pPr>
      <w:r w:rsidRPr="006C63FD">
        <w:rPr>
          <w:i/>
          <w:iCs/>
          <w:sz w:val="18"/>
          <w:szCs w:val="18"/>
        </w:rPr>
        <w:t>(</w:t>
      </w:r>
      <w:r w:rsidR="00BF0848">
        <w:rPr>
          <w:i/>
          <w:iCs/>
          <w:sz w:val="18"/>
          <w:szCs w:val="18"/>
        </w:rPr>
        <w:t>ver</w:t>
      </w:r>
      <w:r w:rsidR="00F470B4" w:rsidRPr="006C63FD">
        <w:rPr>
          <w:i/>
          <w:iCs/>
          <w:sz w:val="18"/>
          <w:szCs w:val="18"/>
        </w:rPr>
        <w:t xml:space="preserve">ändert nach </w:t>
      </w:r>
      <w:proofErr w:type="spellStart"/>
      <w:r w:rsidRPr="006C63FD">
        <w:rPr>
          <w:i/>
          <w:iCs/>
          <w:sz w:val="18"/>
          <w:szCs w:val="18"/>
        </w:rPr>
        <w:t>Diercke</w:t>
      </w:r>
      <w:proofErr w:type="spellEnd"/>
      <w:r w:rsidRPr="006C63FD">
        <w:rPr>
          <w:i/>
          <w:iCs/>
          <w:sz w:val="18"/>
          <w:szCs w:val="18"/>
        </w:rPr>
        <w:t xml:space="preserve"> Geographie</w:t>
      </w:r>
      <w:r w:rsidR="00F470B4" w:rsidRPr="006C63FD">
        <w:rPr>
          <w:i/>
          <w:iCs/>
          <w:sz w:val="18"/>
          <w:szCs w:val="18"/>
        </w:rPr>
        <w:t>, 2017</w:t>
      </w:r>
      <w:r w:rsidRPr="006C63FD">
        <w:rPr>
          <w:i/>
          <w:iCs/>
          <w:sz w:val="18"/>
          <w:szCs w:val="18"/>
        </w:rPr>
        <w:t>)</w:t>
      </w:r>
    </w:p>
    <w:p w14:paraId="05AC052B" w14:textId="2DA965F9" w:rsidR="00DC0C7B" w:rsidRDefault="00DC0C7B" w:rsidP="00DC0C7B"/>
    <w:p w14:paraId="56B9CABC" w14:textId="30A380DD" w:rsidR="00DC26CB" w:rsidRDefault="00DC26CB" w:rsidP="00DC0C7B"/>
    <w:p w14:paraId="0B936DB6" w14:textId="77777777" w:rsidR="00DC26CB" w:rsidRDefault="00DC26CB" w:rsidP="00DC0C7B"/>
    <w:p w14:paraId="377119C5" w14:textId="16A92602" w:rsidR="00DC0C7B" w:rsidRDefault="00DC0C7B" w:rsidP="00DC0C7B">
      <w:r>
        <w:t xml:space="preserve">M2 </w:t>
      </w:r>
      <w:r w:rsidR="00C26CED">
        <w:t xml:space="preserve">– </w:t>
      </w:r>
      <w:r>
        <w:t>Harte und weiche Standortfaktoren</w:t>
      </w:r>
    </w:p>
    <w:p w14:paraId="08F65A56" w14:textId="77777777" w:rsidR="00DC0C7B" w:rsidRPr="006C63FD" w:rsidRDefault="00DC0C7B" w:rsidP="00DC0C7B">
      <w:pPr>
        <w:rPr>
          <w:sz w:val="16"/>
          <w:szCs w:val="16"/>
        </w:rPr>
      </w:pPr>
    </w:p>
    <w:p w14:paraId="30F58FBD" w14:textId="250898F0" w:rsidR="00DC0C7B" w:rsidRDefault="00DC0C7B" w:rsidP="00DC0C7B"/>
    <w:p w14:paraId="55E006ED" w14:textId="73071B0E" w:rsidR="0042030C" w:rsidRDefault="0042030C" w:rsidP="00DC0C7B"/>
    <w:p w14:paraId="72A5F014" w14:textId="62F8232E" w:rsidR="0042030C" w:rsidRDefault="0042030C" w:rsidP="00DC0C7B"/>
    <w:p w14:paraId="646A758C" w14:textId="632C73E5" w:rsidR="0042030C" w:rsidRDefault="0042030C" w:rsidP="00DC0C7B"/>
    <w:p w14:paraId="3B66F195" w14:textId="774EAF5A" w:rsidR="0042030C" w:rsidRDefault="0042030C" w:rsidP="00DC0C7B"/>
    <w:p w14:paraId="20AA01D0" w14:textId="3514549E" w:rsidR="0042030C" w:rsidRDefault="0042030C" w:rsidP="00DC0C7B"/>
    <w:p w14:paraId="67FEF2E2" w14:textId="3AB8BEDD" w:rsidR="0042030C" w:rsidRDefault="0042030C" w:rsidP="00DC0C7B"/>
    <w:p w14:paraId="5C7EFA4D" w14:textId="0E5549E5" w:rsidR="0042030C" w:rsidRDefault="0042030C" w:rsidP="00DC0C7B"/>
    <w:p w14:paraId="79009B92" w14:textId="275D37E3" w:rsidR="0042030C" w:rsidRDefault="0042030C" w:rsidP="00DC0C7B"/>
    <w:p w14:paraId="3E35BF14" w14:textId="2EF04446" w:rsidR="0042030C" w:rsidRDefault="0042030C" w:rsidP="00DC0C7B"/>
    <w:p w14:paraId="5277FB62" w14:textId="5FF3C327" w:rsidR="0042030C" w:rsidRDefault="0042030C" w:rsidP="00DC0C7B"/>
    <w:p w14:paraId="2592A63B" w14:textId="05FFF0F7" w:rsidR="0042030C" w:rsidRDefault="0042030C" w:rsidP="00DC0C7B"/>
    <w:p w14:paraId="46CBEACD" w14:textId="17FBA7B9" w:rsidR="0042030C" w:rsidRDefault="0042030C" w:rsidP="00DC0C7B"/>
    <w:p w14:paraId="2C5E113E" w14:textId="2FC8315F" w:rsidR="0042030C" w:rsidRDefault="0042030C" w:rsidP="00DC0C7B"/>
    <w:p w14:paraId="2E1AC5AE" w14:textId="541E7894" w:rsidR="0042030C" w:rsidRDefault="0042030C" w:rsidP="00DC0C7B"/>
    <w:p w14:paraId="3004B3D6" w14:textId="3F73EC10" w:rsidR="0042030C" w:rsidRDefault="0042030C" w:rsidP="00DC0C7B"/>
    <w:p w14:paraId="5D33FB0D" w14:textId="2E330860" w:rsidR="0042030C" w:rsidRDefault="0042030C" w:rsidP="00DC0C7B"/>
    <w:p w14:paraId="76D51EDE" w14:textId="77777777" w:rsidR="0042030C" w:rsidRDefault="0042030C" w:rsidP="00DC0C7B"/>
    <w:p w14:paraId="3AA8BA90" w14:textId="7609F0F0" w:rsidR="00B43C1C" w:rsidRPr="00267D8A" w:rsidRDefault="00B43C1C" w:rsidP="00DC0C7B">
      <w:pPr>
        <w:rPr>
          <w:sz w:val="16"/>
          <w:szCs w:val="15"/>
        </w:rPr>
      </w:pPr>
    </w:p>
    <w:p w14:paraId="579800DA" w14:textId="73D51BC3" w:rsidR="00DC0C7B" w:rsidRPr="006C63FD" w:rsidRDefault="00CF21B2" w:rsidP="00DC0C7B">
      <w:pPr>
        <w:rPr>
          <w:i/>
          <w:iCs/>
          <w:sz w:val="18"/>
          <w:szCs w:val="16"/>
        </w:rPr>
      </w:pPr>
      <w:r w:rsidRPr="006C63FD">
        <w:rPr>
          <w:i/>
          <w:iCs/>
          <w:sz w:val="18"/>
          <w:szCs w:val="16"/>
        </w:rPr>
        <w:t>(</w:t>
      </w:r>
      <w:r w:rsidR="002C0E8D">
        <w:rPr>
          <w:i/>
          <w:iCs/>
          <w:sz w:val="18"/>
          <w:szCs w:val="16"/>
        </w:rPr>
        <w:t>verändert</w:t>
      </w:r>
      <w:r w:rsidRPr="006C63FD">
        <w:rPr>
          <w:i/>
          <w:iCs/>
          <w:sz w:val="18"/>
          <w:szCs w:val="16"/>
        </w:rPr>
        <w:t xml:space="preserve"> nach </w:t>
      </w:r>
      <w:proofErr w:type="spellStart"/>
      <w:r w:rsidRPr="006C63FD">
        <w:rPr>
          <w:i/>
          <w:iCs/>
          <w:sz w:val="18"/>
          <w:szCs w:val="16"/>
        </w:rPr>
        <w:t>Busso</w:t>
      </w:r>
      <w:proofErr w:type="spellEnd"/>
      <w:r w:rsidRPr="006C63FD">
        <w:rPr>
          <w:i/>
          <w:iCs/>
          <w:sz w:val="18"/>
          <w:szCs w:val="16"/>
        </w:rPr>
        <w:t xml:space="preserve"> Grabow u. a.: Weiche Standortfaktoren. Stuttgart, Berlin, Köln: Kohlhammer 1995)</w:t>
      </w:r>
    </w:p>
    <w:p w14:paraId="2BF1FF33" w14:textId="77777777" w:rsidR="00DC26CB" w:rsidRDefault="00DC26CB" w:rsidP="00DC0C7B"/>
    <w:p w14:paraId="725ADE53" w14:textId="31E4A746" w:rsidR="004A69BE" w:rsidRDefault="004A69BE" w:rsidP="00DC0C7B">
      <w:r>
        <w:lastRenderedPageBreak/>
        <w:t xml:space="preserve">M3 </w:t>
      </w:r>
      <w:r w:rsidR="00C26CED">
        <w:t xml:space="preserve">– </w:t>
      </w:r>
      <w:r w:rsidR="008627F1">
        <w:t>Standort</w:t>
      </w:r>
      <w:r>
        <w:t xml:space="preserve"> </w:t>
      </w:r>
      <w:proofErr w:type="spellStart"/>
      <w:r>
        <w:t>Cupertino</w:t>
      </w:r>
      <w:proofErr w:type="spellEnd"/>
    </w:p>
    <w:p w14:paraId="37AA1BAC" w14:textId="21F0016C" w:rsidR="004A69BE" w:rsidRDefault="004A69BE" w:rsidP="00DC0C7B"/>
    <w:p w14:paraId="781FEA83" w14:textId="59C51381" w:rsidR="004C586E" w:rsidRDefault="004363D7" w:rsidP="004C586E">
      <w:pPr>
        <w:jc w:val="both"/>
      </w:pPr>
      <w:r>
        <w:rPr>
          <w:noProof/>
        </w:rPr>
        <mc:AlternateContent>
          <mc:Choice Requires="wps">
            <w:drawing>
              <wp:anchor distT="0" distB="0" distL="114300" distR="114300" simplePos="0" relativeHeight="251661312" behindDoc="0" locked="0" layoutInCell="1" allowOverlap="1" wp14:anchorId="6B4E65FE" wp14:editId="1218DD69">
                <wp:simplePos x="0" y="0"/>
                <wp:positionH relativeFrom="margin">
                  <wp:posOffset>2620866</wp:posOffset>
                </wp:positionH>
                <wp:positionV relativeFrom="margin">
                  <wp:posOffset>939800</wp:posOffset>
                </wp:positionV>
                <wp:extent cx="3449320" cy="3676650"/>
                <wp:effectExtent l="0" t="0" r="17780" b="19050"/>
                <wp:wrapSquare wrapText="bothSides"/>
                <wp:docPr id="4" name="Textfeld 4"/>
                <wp:cNvGraphicFramePr/>
                <a:graphic xmlns:a="http://schemas.openxmlformats.org/drawingml/2006/main">
                  <a:graphicData uri="http://schemas.microsoft.com/office/word/2010/wordprocessingShape">
                    <wps:wsp>
                      <wps:cNvSpPr txBox="1"/>
                      <wps:spPr>
                        <a:xfrm>
                          <a:off x="0" y="0"/>
                          <a:ext cx="3449320" cy="3676650"/>
                        </a:xfrm>
                        <a:prstGeom prst="rect">
                          <a:avLst/>
                        </a:prstGeom>
                        <a:solidFill>
                          <a:schemeClr val="lt1"/>
                        </a:solidFill>
                        <a:ln w="6350">
                          <a:solidFill>
                            <a:prstClr val="black"/>
                          </a:solidFill>
                        </a:ln>
                      </wps:spPr>
                      <wps:txbx>
                        <w:txbxContent>
                          <w:p w14:paraId="196F1AD0" w14:textId="77777777" w:rsidR="004363D7" w:rsidRDefault="004363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4E65FE" id="_x0000_t202" coordsize="21600,21600" o:spt="202" path="m,l,21600r21600,l21600,xe">
                <v:stroke joinstyle="miter"/>
                <v:path gradientshapeok="t" o:connecttype="rect"/>
              </v:shapetype>
              <v:shape id="Textfeld 4" o:spid="_x0000_s1026" type="#_x0000_t202" style="position:absolute;left:0;text-align:left;margin-left:206.35pt;margin-top:74pt;width:271.6pt;height:289.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" fillcolor="white [3201]" strokeweight=".5pt">
                <v:textbox>
                  <w:txbxContent>
                    <w:p w14:paraId="196F1AD0" w14:textId="77777777" w:rsidR="004363D7" w:rsidRDefault="004363D7"/>
                  </w:txbxContent>
                </v:textbox>
                <w10:wrap type="square" anchorx="margin" anchory="margin"/>
              </v:shape>
            </w:pict>
          </mc:Fallback>
        </mc:AlternateContent>
      </w:r>
      <w:proofErr w:type="spellStart"/>
      <w:r w:rsidR="004A69BE">
        <w:t>Cupertino</w:t>
      </w:r>
      <w:proofErr w:type="spellEnd"/>
      <w:r w:rsidR="00A46E50">
        <w:t xml:space="preserve">, das am westlichen Rand des </w:t>
      </w:r>
      <w:r w:rsidR="004A69BE">
        <w:t xml:space="preserve">Santa Clara </w:t>
      </w:r>
      <w:r w:rsidR="00A46E50">
        <w:t>County liegt,</w:t>
      </w:r>
      <w:r w:rsidR="004A69BE">
        <w:t xml:space="preserve"> war in der Mitte des 20. Jahrhunderts noch vom Obstbau geprägt, man konzentrierte sich auf den Anbau von Äpfeln, Aprikosen, Kirschen und Mandeln. Absatzmärkte waren San Francisco und die großen Städte an der Ostküste.</w:t>
      </w:r>
      <w:r w:rsidR="003A5CCA">
        <w:t xml:space="preserve"> 1960 lebten ca. 3.500 Einwohner in </w:t>
      </w:r>
      <w:proofErr w:type="spellStart"/>
      <w:r w:rsidR="003A5CCA">
        <w:t>Cupertino</w:t>
      </w:r>
      <w:proofErr w:type="spellEnd"/>
      <w:r w:rsidR="004C586E">
        <w:t>, 2019 waren es 64.222.</w:t>
      </w:r>
    </w:p>
    <w:p w14:paraId="5DB78632" w14:textId="101D940B" w:rsidR="008627F1" w:rsidRDefault="004A69BE" w:rsidP="004C586E">
      <w:pPr>
        <w:jc w:val="both"/>
      </w:pPr>
      <w:r>
        <w:t xml:space="preserve">1891 wurde </w:t>
      </w:r>
      <w:r w:rsidR="007511C8">
        <w:t xml:space="preserve">unweit von </w:t>
      </w:r>
      <w:proofErr w:type="spellStart"/>
      <w:r w:rsidR="007511C8">
        <w:t>Cupertino</w:t>
      </w:r>
      <w:proofErr w:type="spellEnd"/>
      <w:r w:rsidR="007511C8">
        <w:t xml:space="preserve">, </w:t>
      </w:r>
      <w:r>
        <w:t xml:space="preserve">in </w:t>
      </w:r>
      <w:proofErr w:type="spellStart"/>
      <w:r>
        <w:t>Palo</w:t>
      </w:r>
      <w:proofErr w:type="spellEnd"/>
      <w:r>
        <w:t xml:space="preserve"> Alto</w:t>
      </w:r>
      <w:r w:rsidR="007511C8">
        <w:t>,</w:t>
      </w:r>
      <w:r>
        <w:t xml:space="preserve"> die Stanfor</w:t>
      </w:r>
      <w:r w:rsidR="009756B1">
        <w:t>d</w:t>
      </w:r>
      <w:r>
        <w:t xml:space="preserve"> Universi</w:t>
      </w:r>
      <w:r w:rsidR="007511C8">
        <w:t>t</w:t>
      </w:r>
      <w:r>
        <w:t xml:space="preserve">ät gegründet. Fred </w:t>
      </w:r>
      <w:proofErr w:type="spellStart"/>
      <w:r>
        <w:t>Terman</w:t>
      </w:r>
      <w:proofErr w:type="spellEnd"/>
      <w:r>
        <w:t xml:space="preserve">, </w:t>
      </w:r>
      <w:r w:rsidR="007511C8">
        <w:t xml:space="preserve">erst </w:t>
      </w:r>
      <w:r>
        <w:t xml:space="preserve">Student und später Professor </w:t>
      </w:r>
      <w:r w:rsidR="004850FB">
        <w:t>an dieser Universität, gilt heute als Vater des Silicon Valley</w:t>
      </w:r>
      <w:r w:rsidR="009756B1">
        <w:t>*</w:t>
      </w:r>
      <w:r w:rsidR="004850FB">
        <w:t xml:space="preserve">. Er unterstütze </w:t>
      </w:r>
      <w:r w:rsidR="007511C8">
        <w:t xml:space="preserve">schon </w:t>
      </w:r>
      <w:r w:rsidR="004850FB">
        <w:t xml:space="preserve">in den 1930er und 1940er Jahren Studierende bei der Gründung eigener Unternehmen, besonders im Bereich der Informationstechnologie (IT). Er förderte zum Beispiel David Packard und William Hewlett, die 1939 </w:t>
      </w:r>
      <w:r w:rsidR="008627F1">
        <w:t xml:space="preserve">in einer Garage </w:t>
      </w:r>
      <w:r w:rsidR="004850FB">
        <w:t xml:space="preserve">ein kleines Unternehmen gründeten, das sich schließlich zum einem der erfolgreichsten Hightech-Unternehmen der Welt entwickelte: Hewlett-Packard (HP). 1951 wurde unter Federführung von </w:t>
      </w:r>
      <w:proofErr w:type="spellStart"/>
      <w:r w:rsidR="004850FB">
        <w:t>Terman</w:t>
      </w:r>
      <w:proofErr w:type="spellEnd"/>
      <w:r w:rsidR="004850FB">
        <w:t xml:space="preserve"> </w:t>
      </w:r>
      <w:r w:rsidR="007511C8">
        <w:t xml:space="preserve">in </w:t>
      </w:r>
      <w:proofErr w:type="spellStart"/>
      <w:r w:rsidR="007511C8">
        <w:t>Palo</w:t>
      </w:r>
      <w:proofErr w:type="spellEnd"/>
      <w:r w:rsidR="007511C8">
        <w:t xml:space="preserve"> Alto </w:t>
      </w:r>
      <w:r w:rsidR="004850FB">
        <w:t>der Stanford Industrial Park (heute Stanford Research Park) gegründet</w:t>
      </w:r>
      <w:r w:rsidR="007511C8">
        <w:t xml:space="preserve">, in dem heute Unternehmen wie HP, Tesla oder SAP </w:t>
      </w:r>
      <w:r w:rsidR="009756B1">
        <w:t>zu finden</w:t>
      </w:r>
      <w:r w:rsidR="007511C8">
        <w:t xml:space="preserve"> sind.</w:t>
      </w:r>
    </w:p>
    <w:p w14:paraId="119C509D" w14:textId="4E559E47" w:rsidR="006D6F70" w:rsidRDefault="008627F1" w:rsidP="004C586E">
      <w:pPr>
        <w:jc w:val="both"/>
      </w:pPr>
      <w:r>
        <w:t xml:space="preserve">In den 1960er Jahren erfuhren </w:t>
      </w:r>
      <w:proofErr w:type="spellStart"/>
      <w:r>
        <w:t>Cupertino</w:t>
      </w:r>
      <w:proofErr w:type="spellEnd"/>
      <w:r>
        <w:t xml:space="preserve"> und das Silicon Valley eine rasante Entwicklung im IT-Bereich, was nicht zuletzt auch auf eine unternehmerfreundliche Steuerpolitik in Kalifornien und die damals niedrigen Grundstückspreise zurückzuführen ist. Aufgrund des milden Klimas, der Nähe zu San Francisco und der Aussicht auf einen gut bezahlten Arbeitsplatz wurde das Silicon Valley schnell zu einer attraktiven Region für Arbeitnehmer aus aller Welt</w:t>
      </w:r>
      <w:r w:rsidR="009756B1">
        <w:t>.</w:t>
      </w:r>
      <w:r>
        <w:t xml:space="preserve"> </w:t>
      </w:r>
      <w:r w:rsidR="009756B1">
        <w:t>D</w:t>
      </w:r>
      <w:r>
        <w:t>er hohe Bedarf an qualifizierten Arbeitskräften im Santa Clara Valley konnte so gedeckt werden.</w:t>
      </w:r>
    </w:p>
    <w:p w14:paraId="0F268EC3" w14:textId="3F0CE057" w:rsidR="00FF4C21" w:rsidRDefault="00FF4C21" w:rsidP="004C586E">
      <w:pPr>
        <w:jc w:val="both"/>
      </w:pPr>
      <w:r>
        <w:t>1977</w:t>
      </w:r>
      <w:r w:rsidR="006D6F70">
        <w:t>, ein Jahr nach der Gründung des Unternehmens</w:t>
      </w:r>
      <w:r w:rsidR="00950826">
        <w:t xml:space="preserve"> in Los Altos</w:t>
      </w:r>
      <w:r w:rsidR="006D6F70">
        <w:t>,</w:t>
      </w:r>
      <w:r>
        <w:t xml:space="preserve"> siedelte sich Apple in </w:t>
      </w:r>
      <w:proofErr w:type="spellStart"/>
      <w:r w:rsidR="00A46E50" w:rsidRPr="00FF4C21">
        <w:t>Cupertino</w:t>
      </w:r>
      <w:proofErr w:type="spellEnd"/>
      <w:r w:rsidR="00BB3ED1" w:rsidRPr="00FF4C21">
        <w:t xml:space="preserve"> </w:t>
      </w:r>
      <w:r>
        <w:t>an</w:t>
      </w:r>
      <w:r w:rsidR="009756B1">
        <w:t>.</w:t>
      </w:r>
      <w:r>
        <w:t xml:space="preserve"> </w:t>
      </w:r>
      <w:r w:rsidR="009756B1">
        <w:t>V</w:t>
      </w:r>
      <w:r w:rsidR="006D6F70">
        <w:t xml:space="preserve">on 1993 bis 2017 war der „Apple Campus“ – ebenfalls in </w:t>
      </w:r>
      <w:proofErr w:type="spellStart"/>
      <w:r w:rsidR="006D6F70">
        <w:t>Cupertino</w:t>
      </w:r>
      <w:proofErr w:type="spellEnd"/>
      <w:r w:rsidR="006D6F70">
        <w:t xml:space="preserve"> – die Unternehmenszentrale. 2</w:t>
      </w:r>
      <w:r>
        <w:t>01</w:t>
      </w:r>
      <w:r w:rsidR="003A5CCA">
        <w:t>3</w:t>
      </w:r>
      <w:r>
        <w:t xml:space="preserve"> wurde </w:t>
      </w:r>
      <w:r w:rsidR="006D6F70">
        <w:t xml:space="preserve">unweit vom „Apple Campus“ </w:t>
      </w:r>
      <w:r w:rsidR="00950826">
        <w:t xml:space="preserve">und ganz in der Nähe der </w:t>
      </w:r>
      <w:proofErr w:type="spellStart"/>
      <w:r w:rsidR="00950826">
        <w:t>Homestead</w:t>
      </w:r>
      <w:proofErr w:type="spellEnd"/>
      <w:r w:rsidR="00950826">
        <w:t xml:space="preserve"> High School – hier machte Apple-Mitbegründer Steve Jobs 1972 seinen High-School-Abschluss – </w:t>
      </w:r>
      <w:r w:rsidR="003A5CCA">
        <w:t xml:space="preserve">mit dem Bau </w:t>
      </w:r>
      <w:r w:rsidR="006D6F70">
        <w:t xml:space="preserve">einer neuen Firmenzentrale, </w:t>
      </w:r>
      <w:r w:rsidR="003A5CCA">
        <w:t>des</w:t>
      </w:r>
      <w:r>
        <w:t xml:space="preserve"> </w:t>
      </w:r>
      <w:r w:rsidR="006D6F70">
        <w:t>„</w:t>
      </w:r>
      <w:r>
        <w:t>Apple Park</w:t>
      </w:r>
      <w:r w:rsidR="006D6F70">
        <w:t>“,</w:t>
      </w:r>
      <w:r>
        <w:t xml:space="preserve"> </w:t>
      </w:r>
      <w:r w:rsidR="003A5CCA">
        <w:t xml:space="preserve">begonnen. </w:t>
      </w:r>
      <w:r w:rsidR="00950826">
        <w:t>T</w:t>
      </w:r>
      <w:r w:rsidR="006D6F70">
        <w:t xml:space="preserve">rotz </w:t>
      </w:r>
      <w:r w:rsidR="009756B1">
        <w:t xml:space="preserve">mittlerweile sehr </w:t>
      </w:r>
      <w:r w:rsidR="006D6F70">
        <w:t xml:space="preserve">hoher Grundstückpreise </w:t>
      </w:r>
      <w:r w:rsidR="009756B1">
        <w:t xml:space="preserve">und </w:t>
      </w:r>
      <w:r w:rsidR="0007015C">
        <w:t>eines drohenden</w:t>
      </w:r>
      <w:r w:rsidR="009756B1">
        <w:t xml:space="preserve"> Verkehrs</w:t>
      </w:r>
      <w:r w:rsidR="0007015C">
        <w:t>infarkts</w:t>
      </w:r>
      <w:r w:rsidR="009756B1">
        <w:t xml:space="preserve"> </w:t>
      </w:r>
      <w:r w:rsidR="00950826">
        <w:t>entschied sich das Unternehmen</w:t>
      </w:r>
      <w:r w:rsidR="009756B1">
        <w:t>,</w:t>
      </w:r>
      <w:r w:rsidR="006D6F70">
        <w:t xml:space="preserve"> dem Standort </w:t>
      </w:r>
      <w:proofErr w:type="spellStart"/>
      <w:r w:rsidR="006D6F70">
        <w:t>Cupertino</w:t>
      </w:r>
      <w:proofErr w:type="spellEnd"/>
      <w:r w:rsidR="006D6F70">
        <w:t xml:space="preserve"> treu zu bleiben. </w:t>
      </w:r>
      <w:r w:rsidR="003A5CCA">
        <w:t xml:space="preserve">Seit 2017 bietet allein das Hauptgebäude </w:t>
      </w:r>
      <w:r w:rsidR="006D6F70">
        <w:t xml:space="preserve">des „Apple Park“ </w:t>
      </w:r>
      <w:r w:rsidR="00950826">
        <w:t xml:space="preserve">Platz </w:t>
      </w:r>
      <w:r w:rsidR="003A5CCA">
        <w:t>für mehr als 12.000 Mitarbeiter.</w:t>
      </w:r>
    </w:p>
    <w:p w14:paraId="08521AF8" w14:textId="0AD31A8F" w:rsidR="007511C8" w:rsidRPr="00FF4C21" w:rsidRDefault="007511C8" w:rsidP="006F126E">
      <w:pPr>
        <w:jc w:val="both"/>
      </w:pPr>
    </w:p>
    <w:p w14:paraId="1BA30FC9" w14:textId="027FDCE7" w:rsidR="00BB3ED1" w:rsidRPr="006B05D3" w:rsidRDefault="00BB3ED1" w:rsidP="00DC0C7B">
      <w:pPr>
        <w:rPr>
          <w:sz w:val="18"/>
          <w:szCs w:val="18"/>
        </w:rPr>
      </w:pPr>
      <w:r w:rsidRPr="006B05D3">
        <w:rPr>
          <w:sz w:val="18"/>
          <w:szCs w:val="18"/>
        </w:rPr>
        <w:t>* Der Name „Silicon Valley“ geht auf William Shockley zurück, der die Bedeutung des Siliziums für die Elektroindustrie entdeckte.</w:t>
      </w:r>
    </w:p>
    <w:p w14:paraId="4B12FA22" w14:textId="198BA2B5" w:rsidR="00FF4C21" w:rsidRDefault="00FF4C21" w:rsidP="00DC0C7B"/>
    <w:p w14:paraId="13738F31" w14:textId="1A37F7CB" w:rsidR="00FF4C21" w:rsidRPr="00FF4C21" w:rsidRDefault="00FF4C21" w:rsidP="00DC0C7B">
      <w:pPr>
        <w:rPr>
          <w:i/>
          <w:iCs/>
          <w:sz w:val="18"/>
          <w:szCs w:val="18"/>
        </w:rPr>
      </w:pPr>
      <w:r w:rsidRPr="00FF4C21">
        <w:rPr>
          <w:i/>
          <w:iCs/>
          <w:sz w:val="18"/>
          <w:szCs w:val="18"/>
        </w:rPr>
        <w:t>(</w:t>
      </w:r>
      <w:r w:rsidR="00B12F5D">
        <w:rPr>
          <w:i/>
          <w:iCs/>
          <w:sz w:val="18"/>
          <w:szCs w:val="18"/>
        </w:rPr>
        <w:t>eigener Text</w:t>
      </w:r>
      <w:r w:rsidR="009756B1">
        <w:rPr>
          <w:i/>
          <w:iCs/>
          <w:sz w:val="18"/>
          <w:szCs w:val="18"/>
        </w:rPr>
        <w:t xml:space="preserve"> auf Basis unterschiedlicher Quellen</w:t>
      </w:r>
      <w:r w:rsidR="00B12F5D">
        <w:rPr>
          <w:i/>
          <w:iCs/>
          <w:sz w:val="18"/>
          <w:szCs w:val="18"/>
        </w:rPr>
        <w:t xml:space="preserve">; Bildquelle: </w:t>
      </w:r>
      <w:hyperlink r:id="rId7" w:history="1">
        <w:r w:rsidR="00B12F5D" w:rsidRPr="00227157">
          <w:rPr>
            <w:rStyle w:val="Hyperlink"/>
            <w:rFonts w:cs="Arial"/>
            <w:i/>
            <w:iCs/>
            <w:sz w:val="18"/>
            <w:szCs w:val="18"/>
          </w:rPr>
          <w:t>https://upload.wikimedia.org/wikipedia/commons/a/ae/Map_silicon_valley_cities.png</w:t>
        </w:r>
      </w:hyperlink>
      <w:r w:rsidR="00E36DF8">
        <w:rPr>
          <w:i/>
          <w:iCs/>
          <w:sz w:val="18"/>
          <w:szCs w:val="18"/>
        </w:rPr>
        <w:t xml:space="preserve">, </w:t>
      </w:r>
      <w:r w:rsidRPr="00FF4C21">
        <w:rPr>
          <w:i/>
          <w:iCs/>
          <w:sz w:val="18"/>
          <w:szCs w:val="18"/>
        </w:rPr>
        <w:t>03.12.2020</w:t>
      </w:r>
      <w:r w:rsidR="00E36DF8">
        <w:rPr>
          <w:i/>
          <w:iCs/>
          <w:sz w:val="18"/>
          <w:szCs w:val="18"/>
        </w:rPr>
        <w:t>)</w:t>
      </w:r>
    </w:p>
    <w:p w14:paraId="365D6CC7" w14:textId="558749E1" w:rsidR="00FF4C21" w:rsidRDefault="00FF4C21" w:rsidP="00DC0C7B"/>
    <w:p w14:paraId="422A1A06" w14:textId="77777777" w:rsidR="00B92DBC" w:rsidRDefault="00B92DBC" w:rsidP="00DC0C7B"/>
    <w:p w14:paraId="017DA543" w14:textId="33C4A9DD" w:rsidR="006B05D3" w:rsidRDefault="00903383" w:rsidP="00DC0C7B">
      <w:r>
        <w:lastRenderedPageBreak/>
        <w:t>M</w:t>
      </w:r>
      <w:r w:rsidR="009B214D">
        <w:t>4</w:t>
      </w:r>
      <w:r>
        <w:t xml:space="preserve"> </w:t>
      </w:r>
      <w:r w:rsidR="00C26CED">
        <w:t xml:space="preserve">– </w:t>
      </w:r>
      <w:proofErr w:type="spellStart"/>
      <w:r>
        <w:t>Cupertino</w:t>
      </w:r>
      <w:proofErr w:type="spellEnd"/>
      <w:r>
        <w:t xml:space="preserve"> </w:t>
      </w:r>
      <w:r w:rsidR="009B214D">
        <w:t xml:space="preserve">und Austin </w:t>
      </w:r>
      <w:r>
        <w:t xml:space="preserve">– ausgewählte Strukturdaten </w:t>
      </w:r>
    </w:p>
    <w:p w14:paraId="6F6E9F1F" w14:textId="2B546FE3" w:rsidR="00903383" w:rsidRDefault="00903383" w:rsidP="00DC0C7B"/>
    <w:tbl>
      <w:tblPr>
        <w:tblStyle w:val="Tabellenraster"/>
        <w:tblW w:w="0" w:type="auto"/>
        <w:tblLook w:val="04A0" w:firstRow="1" w:lastRow="0" w:firstColumn="1" w:lastColumn="0" w:noHBand="0" w:noVBand="1"/>
      </w:tblPr>
      <w:tblGrid>
        <w:gridCol w:w="6658"/>
        <w:gridCol w:w="1482"/>
        <w:gridCol w:w="1482"/>
      </w:tblGrid>
      <w:tr w:rsidR="00FD436C" w:rsidRPr="00FD436C" w14:paraId="0A31ABA3" w14:textId="23BEA455" w:rsidTr="00FD436C">
        <w:trPr>
          <w:trHeight w:val="567"/>
        </w:trPr>
        <w:tc>
          <w:tcPr>
            <w:tcW w:w="6658" w:type="dxa"/>
            <w:shd w:val="clear" w:color="auto" w:fill="BFBFBF" w:themeFill="background1" w:themeFillShade="BF"/>
            <w:vAlign w:val="center"/>
          </w:tcPr>
          <w:p w14:paraId="39D85D34" w14:textId="154DA7D2" w:rsidR="00C4170E" w:rsidRPr="00FD436C" w:rsidRDefault="00C4170E" w:rsidP="009B214D">
            <w:pPr>
              <w:rPr>
                <w:sz w:val="20"/>
                <w:szCs w:val="18"/>
              </w:rPr>
            </w:pPr>
            <w:r w:rsidRPr="00FD436C">
              <w:rPr>
                <w:sz w:val="20"/>
                <w:szCs w:val="18"/>
              </w:rPr>
              <w:t>Indikator</w:t>
            </w:r>
          </w:p>
        </w:tc>
        <w:tc>
          <w:tcPr>
            <w:tcW w:w="1482" w:type="dxa"/>
            <w:shd w:val="clear" w:color="auto" w:fill="BFBFBF" w:themeFill="background1" w:themeFillShade="BF"/>
            <w:vAlign w:val="center"/>
          </w:tcPr>
          <w:p w14:paraId="0E08C57D" w14:textId="77777777" w:rsidR="00FD436C" w:rsidRDefault="00C4170E" w:rsidP="009B214D">
            <w:pPr>
              <w:rPr>
                <w:sz w:val="20"/>
                <w:szCs w:val="18"/>
              </w:rPr>
            </w:pPr>
            <w:proofErr w:type="spellStart"/>
            <w:r w:rsidRPr="00FD436C">
              <w:rPr>
                <w:sz w:val="20"/>
                <w:szCs w:val="18"/>
              </w:rPr>
              <w:t>Cupertino</w:t>
            </w:r>
            <w:proofErr w:type="spellEnd"/>
          </w:p>
          <w:p w14:paraId="3C7C5E12" w14:textId="018D0669" w:rsidR="00C4170E" w:rsidRPr="00FD436C" w:rsidRDefault="009B214D" w:rsidP="009B214D">
            <w:pPr>
              <w:rPr>
                <w:sz w:val="20"/>
                <w:szCs w:val="18"/>
              </w:rPr>
            </w:pPr>
            <w:r w:rsidRPr="00FD436C">
              <w:rPr>
                <w:sz w:val="20"/>
                <w:szCs w:val="18"/>
              </w:rPr>
              <w:t>(K</w:t>
            </w:r>
            <w:r w:rsidR="005412F1" w:rsidRPr="00FD436C">
              <w:rPr>
                <w:sz w:val="20"/>
                <w:szCs w:val="18"/>
              </w:rPr>
              <w:t>alifornien</w:t>
            </w:r>
            <w:r w:rsidRPr="00FD436C">
              <w:rPr>
                <w:sz w:val="20"/>
                <w:szCs w:val="18"/>
              </w:rPr>
              <w:t>)</w:t>
            </w:r>
          </w:p>
        </w:tc>
        <w:tc>
          <w:tcPr>
            <w:tcW w:w="1482" w:type="dxa"/>
            <w:shd w:val="clear" w:color="auto" w:fill="BFBFBF" w:themeFill="background1" w:themeFillShade="BF"/>
            <w:vAlign w:val="center"/>
          </w:tcPr>
          <w:p w14:paraId="79BF0997" w14:textId="77777777" w:rsidR="00FD436C" w:rsidRDefault="009B214D" w:rsidP="009B214D">
            <w:pPr>
              <w:rPr>
                <w:sz w:val="20"/>
                <w:szCs w:val="18"/>
              </w:rPr>
            </w:pPr>
            <w:r w:rsidRPr="00FD436C">
              <w:rPr>
                <w:sz w:val="20"/>
                <w:szCs w:val="18"/>
              </w:rPr>
              <w:t>Austin</w:t>
            </w:r>
          </w:p>
          <w:p w14:paraId="63B323E6" w14:textId="30DFE02D" w:rsidR="00C4170E" w:rsidRPr="00FD436C" w:rsidRDefault="009B214D" w:rsidP="009B214D">
            <w:pPr>
              <w:rPr>
                <w:sz w:val="20"/>
                <w:szCs w:val="18"/>
              </w:rPr>
            </w:pPr>
            <w:r w:rsidRPr="00FD436C">
              <w:rPr>
                <w:sz w:val="20"/>
                <w:szCs w:val="18"/>
              </w:rPr>
              <w:t>(Texas)</w:t>
            </w:r>
          </w:p>
        </w:tc>
      </w:tr>
      <w:tr w:rsidR="00C4170E" w:rsidRPr="00FD436C" w14:paraId="450ACA5C" w14:textId="6A751248" w:rsidTr="00FD436C">
        <w:trPr>
          <w:trHeight w:val="454"/>
        </w:trPr>
        <w:tc>
          <w:tcPr>
            <w:tcW w:w="6658" w:type="dxa"/>
            <w:vAlign w:val="center"/>
          </w:tcPr>
          <w:p w14:paraId="109393A9" w14:textId="39E1D9A1" w:rsidR="00C4170E" w:rsidRPr="00FD436C" w:rsidRDefault="00C4170E" w:rsidP="00FD436C">
            <w:pPr>
              <w:rPr>
                <w:sz w:val="20"/>
                <w:szCs w:val="18"/>
              </w:rPr>
            </w:pPr>
            <w:r w:rsidRPr="00FD436C">
              <w:rPr>
                <w:sz w:val="20"/>
                <w:szCs w:val="18"/>
              </w:rPr>
              <w:t>Personen mit einem Hochschulabschluss</w:t>
            </w:r>
            <w:r w:rsidR="009B214D" w:rsidRPr="00FD436C">
              <w:rPr>
                <w:sz w:val="20"/>
                <w:szCs w:val="18"/>
              </w:rPr>
              <w:t xml:space="preserve"> (Bachelor), 2015 – </w:t>
            </w:r>
            <w:r w:rsidRPr="00FD436C">
              <w:rPr>
                <w:sz w:val="20"/>
                <w:szCs w:val="18"/>
              </w:rPr>
              <w:t>2019</w:t>
            </w:r>
          </w:p>
        </w:tc>
        <w:tc>
          <w:tcPr>
            <w:tcW w:w="1482" w:type="dxa"/>
            <w:vAlign w:val="center"/>
          </w:tcPr>
          <w:p w14:paraId="089486FA" w14:textId="6ABC8839" w:rsidR="00C4170E" w:rsidRPr="00FD436C" w:rsidRDefault="00C4170E" w:rsidP="00FD436C">
            <w:pPr>
              <w:rPr>
                <w:sz w:val="20"/>
                <w:szCs w:val="18"/>
              </w:rPr>
            </w:pPr>
            <w:r w:rsidRPr="00FD436C">
              <w:rPr>
                <w:sz w:val="20"/>
                <w:szCs w:val="18"/>
              </w:rPr>
              <w:t>78,8</w:t>
            </w:r>
            <w:r w:rsidR="009B214D" w:rsidRPr="00FD436C">
              <w:rPr>
                <w:sz w:val="20"/>
                <w:szCs w:val="18"/>
              </w:rPr>
              <w:t xml:space="preserve"> %</w:t>
            </w:r>
          </w:p>
        </w:tc>
        <w:tc>
          <w:tcPr>
            <w:tcW w:w="1482" w:type="dxa"/>
            <w:vAlign w:val="center"/>
          </w:tcPr>
          <w:p w14:paraId="284B4B4B" w14:textId="19FC312F" w:rsidR="00C4170E" w:rsidRPr="00FD436C" w:rsidRDefault="009B214D" w:rsidP="00FD436C">
            <w:pPr>
              <w:rPr>
                <w:sz w:val="20"/>
                <w:szCs w:val="18"/>
              </w:rPr>
            </w:pPr>
            <w:r w:rsidRPr="00FD436C">
              <w:rPr>
                <w:sz w:val="20"/>
                <w:szCs w:val="18"/>
              </w:rPr>
              <w:t>51,7 %</w:t>
            </w:r>
          </w:p>
        </w:tc>
      </w:tr>
      <w:tr w:rsidR="00C4170E" w:rsidRPr="00FD436C" w14:paraId="14D19DA9" w14:textId="6B944EBD" w:rsidTr="00FD436C">
        <w:trPr>
          <w:trHeight w:val="454"/>
        </w:trPr>
        <w:tc>
          <w:tcPr>
            <w:tcW w:w="6658" w:type="dxa"/>
            <w:vAlign w:val="center"/>
          </w:tcPr>
          <w:p w14:paraId="52B97FE2" w14:textId="51136C94" w:rsidR="00C4170E" w:rsidRPr="00FD436C" w:rsidRDefault="004C586E" w:rsidP="00FD436C">
            <w:pPr>
              <w:rPr>
                <w:sz w:val="20"/>
                <w:szCs w:val="18"/>
              </w:rPr>
            </w:pPr>
            <w:r w:rsidRPr="00FD436C">
              <w:rPr>
                <w:sz w:val="20"/>
                <w:szCs w:val="18"/>
              </w:rPr>
              <w:t>Mittleres J</w:t>
            </w:r>
            <w:r w:rsidR="00C4170E" w:rsidRPr="00FD436C">
              <w:rPr>
                <w:sz w:val="20"/>
                <w:szCs w:val="18"/>
              </w:rPr>
              <w:t>ahreseinkommen eines Haushalts</w:t>
            </w:r>
            <w:r w:rsidR="00FC4DCA">
              <w:rPr>
                <w:sz w:val="20"/>
                <w:szCs w:val="18"/>
              </w:rPr>
              <w:t>,</w:t>
            </w:r>
            <w:r w:rsidR="00C4170E" w:rsidRPr="00FD436C">
              <w:rPr>
                <w:sz w:val="20"/>
                <w:szCs w:val="18"/>
              </w:rPr>
              <w:t xml:space="preserve"> </w:t>
            </w:r>
            <w:r w:rsidRPr="00FD436C">
              <w:rPr>
                <w:sz w:val="20"/>
                <w:szCs w:val="18"/>
              </w:rPr>
              <w:t xml:space="preserve">2015 – </w:t>
            </w:r>
            <w:r w:rsidR="00C4170E" w:rsidRPr="00FD436C">
              <w:rPr>
                <w:sz w:val="20"/>
                <w:szCs w:val="18"/>
              </w:rPr>
              <w:t>2019</w:t>
            </w:r>
          </w:p>
        </w:tc>
        <w:tc>
          <w:tcPr>
            <w:tcW w:w="1482" w:type="dxa"/>
            <w:vAlign w:val="center"/>
          </w:tcPr>
          <w:p w14:paraId="316BEF8C" w14:textId="1ABC32EE" w:rsidR="00C4170E" w:rsidRPr="00FD436C" w:rsidRDefault="00C4170E" w:rsidP="00FD436C">
            <w:pPr>
              <w:rPr>
                <w:sz w:val="20"/>
                <w:szCs w:val="18"/>
              </w:rPr>
            </w:pPr>
            <w:r w:rsidRPr="00FD436C">
              <w:rPr>
                <w:sz w:val="20"/>
                <w:szCs w:val="18"/>
              </w:rPr>
              <w:t xml:space="preserve">171.917 </w:t>
            </w:r>
            <w:r w:rsidR="004C586E" w:rsidRPr="00FD436C">
              <w:rPr>
                <w:sz w:val="20"/>
                <w:szCs w:val="18"/>
              </w:rPr>
              <w:t>$</w:t>
            </w:r>
          </w:p>
        </w:tc>
        <w:tc>
          <w:tcPr>
            <w:tcW w:w="1482" w:type="dxa"/>
            <w:vAlign w:val="center"/>
          </w:tcPr>
          <w:p w14:paraId="339DA857" w14:textId="2F487FE5" w:rsidR="00C4170E" w:rsidRPr="00FD436C" w:rsidRDefault="004C586E" w:rsidP="00FD436C">
            <w:pPr>
              <w:rPr>
                <w:sz w:val="20"/>
                <w:szCs w:val="18"/>
              </w:rPr>
            </w:pPr>
            <w:r w:rsidRPr="00FD436C">
              <w:rPr>
                <w:sz w:val="20"/>
                <w:szCs w:val="18"/>
              </w:rPr>
              <w:t>71.576 $</w:t>
            </w:r>
          </w:p>
        </w:tc>
      </w:tr>
      <w:tr w:rsidR="00E630F6" w:rsidRPr="00FD436C" w14:paraId="51C3D034" w14:textId="77777777" w:rsidTr="00FD436C">
        <w:trPr>
          <w:trHeight w:val="454"/>
        </w:trPr>
        <w:tc>
          <w:tcPr>
            <w:tcW w:w="6658" w:type="dxa"/>
            <w:vAlign w:val="center"/>
          </w:tcPr>
          <w:p w14:paraId="2AF3F6B3" w14:textId="5284F0B7" w:rsidR="00E630F6" w:rsidRPr="00FD436C" w:rsidRDefault="002047DD" w:rsidP="00FD436C">
            <w:pPr>
              <w:rPr>
                <w:sz w:val="20"/>
                <w:szCs w:val="18"/>
              </w:rPr>
            </w:pPr>
            <w:r w:rsidRPr="00FD436C">
              <w:rPr>
                <w:sz w:val="20"/>
                <w:szCs w:val="18"/>
              </w:rPr>
              <w:t>Büroflächenverfügbarkeit</w:t>
            </w:r>
            <w:r w:rsidR="00FC4DCA">
              <w:rPr>
                <w:sz w:val="20"/>
                <w:szCs w:val="18"/>
              </w:rPr>
              <w:t>,</w:t>
            </w:r>
            <w:r w:rsidR="00E630F6" w:rsidRPr="00FD436C">
              <w:rPr>
                <w:sz w:val="20"/>
                <w:szCs w:val="18"/>
              </w:rPr>
              <w:t xml:space="preserve"> 2019</w:t>
            </w:r>
          </w:p>
        </w:tc>
        <w:tc>
          <w:tcPr>
            <w:tcW w:w="1482" w:type="dxa"/>
            <w:vAlign w:val="center"/>
          </w:tcPr>
          <w:p w14:paraId="6C4C08D7" w14:textId="233E6884" w:rsidR="00E630F6" w:rsidRPr="00FD436C" w:rsidRDefault="00E630F6" w:rsidP="00FD436C">
            <w:pPr>
              <w:rPr>
                <w:sz w:val="20"/>
                <w:szCs w:val="18"/>
              </w:rPr>
            </w:pPr>
            <w:r w:rsidRPr="00FD436C">
              <w:rPr>
                <w:sz w:val="20"/>
                <w:szCs w:val="18"/>
              </w:rPr>
              <w:t>2.63 %</w:t>
            </w:r>
          </w:p>
        </w:tc>
        <w:tc>
          <w:tcPr>
            <w:tcW w:w="1482" w:type="dxa"/>
            <w:vAlign w:val="center"/>
          </w:tcPr>
          <w:p w14:paraId="3BFC1BD0" w14:textId="44F18955" w:rsidR="00E630F6" w:rsidRPr="00FD436C" w:rsidRDefault="00292FA2" w:rsidP="00FD436C">
            <w:pPr>
              <w:rPr>
                <w:sz w:val="20"/>
                <w:szCs w:val="18"/>
              </w:rPr>
            </w:pPr>
            <w:r w:rsidRPr="00FD436C">
              <w:rPr>
                <w:sz w:val="20"/>
                <w:szCs w:val="18"/>
              </w:rPr>
              <w:t>1</w:t>
            </w:r>
            <w:r w:rsidR="009C5116" w:rsidRPr="00FD436C">
              <w:rPr>
                <w:sz w:val="20"/>
                <w:szCs w:val="18"/>
              </w:rPr>
              <w:t>2</w:t>
            </w:r>
            <w:r w:rsidRPr="00FD436C">
              <w:rPr>
                <w:sz w:val="20"/>
                <w:szCs w:val="18"/>
              </w:rPr>
              <w:t xml:space="preserve"> %</w:t>
            </w:r>
          </w:p>
        </w:tc>
      </w:tr>
      <w:tr w:rsidR="00D44B72" w:rsidRPr="00FD436C" w14:paraId="73FFC326" w14:textId="77777777" w:rsidTr="00FD436C">
        <w:trPr>
          <w:trHeight w:val="454"/>
        </w:trPr>
        <w:tc>
          <w:tcPr>
            <w:tcW w:w="6658" w:type="dxa"/>
            <w:vAlign w:val="center"/>
          </w:tcPr>
          <w:p w14:paraId="777AB0A3" w14:textId="50607048" w:rsidR="00B6113D" w:rsidRPr="00FD436C" w:rsidRDefault="005412F1" w:rsidP="00FD436C">
            <w:pPr>
              <w:rPr>
                <w:sz w:val="20"/>
                <w:szCs w:val="18"/>
              </w:rPr>
            </w:pPr>
            <w:proofErr w:type="spellStart"/>
            <w:r w:rsidRPr="00FD436C">
              <w:rPr>
                <w:sz w:val="20"/>
                <w:szCs w:val="18"/>
              </w:rPr>
              <w:t>FuE</w:t>
            </w:r>
            <w:proofErr w:type="spellEnd"/>
            <w:r w:rsidRPr="00FD436C">
              <w:rPr>
                <w:sz w:val="20"/>
                <w:szCs w:val="18"/>
              </w:rPr>
              <w:t xml:space="preserve">-Ausgaben </w:t>
            </w:r>
            <w:r w:rsidR="00D412C6" w:rsidRPr="00FD436C">
              <w:rPr>
                <w:sz w:val="20"/>
                <w:szCs w:val="18"/>
              </w:rPr>
              <w:t xml:space="preserve">im Bereich „Software </w:t>
            </w:r>
            <w:proofErr w:type="spellStart"/>
            <w:r w:rsidR="00D412C6" w:rsidRPr="00FD436C">
              <w:rPr>
                <w:sz w:val="20"/>
                <w:szCs w:val="18"/>
              </w:rPr>
              <w:t>research</w:t>
            </w:r>
            <w:proofErr w:type="spellEnd"/>
            <w:r w:rsidR="00D412C6" w:rsidRPr="00FD436C">
              <w:rPr>
                <w:sz w:val="20"/>
                <w:szCs w:val="18"/>
              </w:rPr>
              <w:t xml:space="preserve"> </w:t>
            </w:r>
            <w:proofErr w:type="spellStart"/>
            <w:r w:rsidR="00D412C6" w:rsidRPr="00FD436C">
              <w:rPr>
                <w:sz w:val="20"/>
                <w:szCs w:val="18"/>
              </w:rPr>
              <w:t>and</w:t>
            </w:r>
            <w:proofErr w:type="spellEnd"/>
            <w:r w:rsidR="00D412C6" w:rsidRPr="00FD436C">
              <w:rPr>
                <w:sz w:val="20"/>
                <w:szCs w:val="18"/>
              </w:rPr>
              <w:t xml:space="preserve"> </w:t>
            </w:r>
            <w:proofErr w:type="spellStart"/>
            <w:r w:rsidR="00D412C6" w:rsidRPr="00FD436C">
              <w:rPr>
                <w:sz w:val="20"/>
                <w:szCs w:val="18"/>
              </w:rPr>
              <w:t>development</w:t>
            </w:r>
            <w:proofErr w:type="spellEnd"/>
            <w:r w:rsidR="00D412C6" w:rsidRPr="00FD436C">
              <w:rPr>
                <w:sz w:val="20"/>
                <w:szCs w:val="18"/>
              </w:rPr>
              <w:t>“, 2019</w:t>
            </w:r>
          </w:p>
        </w:tc>
        <w:tc>
          <w:tcPr>
            <w:tcW w:w="1482" w:type="dxa"/>
            <w:vAlign w:val="center"/>
          </w:tcPr>
          <w:p w14:paraId="15F4492B" w14:textId="77777777" w:rsidR="00FD436C" w:rsidRDefault="00B6113D" w:rsidP="00FD436C">
            <w:pPr>
              <w:rPr>
                <w:sz w:val="20"/>
                <w:szCs w:val="18"/>
              </w:rPr>
            </w:pPr>
            <w:r w:rsidRPr="00FD436C">
              <w:rPr>
                <w:sz w:val="20"/>
                <w:szCs w:val="18"/>
              </w:rPr>
              <w:t>Kalifornien:</w:t>
            </w:r>
          </w:p>
          <w:p w14:paraId="38D75A7F" w14:textId="57A7B2A3" w:rsidR="00D44B72" w:rsidRPr="00FD436C" w:rsidRDefault="00D412C6" w:rsidP="00FD436C">
            <w:pPr>
              <w:rPr>
                <w:sz w:val="20"/>
                <w:szCs w:val="18"/>
              </w:rPr>
            </w:pPr>
            <w:r w:rsidRPr="00FD436C">
              <w:rPr>
                <w:sz w:val="20"/>
                <w:szCs w:val="18"/>
              </w:rPr>
              <w:t>20,5 Mrd. $</w:t>
            </w:r>
          </w:p>
        </w:tc>
        <w:tc>
          <w:tcPr>
            <w:tcW w:w="1482" w:type="dxa"/>
            <w:vAlign w:val="center"/>
          </w:tcPr>
          <w:p w14:paraId="720FB709" w14:textId="77777777" w:rsidR="00FD436C" w:rsidRDefault="00B6113D" w:rsidP="00FD436C">
            <w:pPr>
              <w:rPr>
                <w:sz w:val="20"/>
                <w:szCs w:val="18"/>
              </w:rPr>
            </w:pPr>
            <w:r w:rsidRPr="00FD436C">
              <w:rPr>
                <w:sz w:val="20"/>
                <w:szCs w:val="18"/>
              </w:rPr>
              <w:t>Texas:</w:t>
            </w:r>
          </w:p>
          <w:p w14:paraId="38B78896" w14:textId="5FEDCD34" w:rsidR="00B6113D" w:rsidRPr="00FD436C" w:rsidRDefault="00D412C6" w:rsidP="00FD436C">
            <w:pPr>
              <w:rPr>
                <w:sz w:val="20"/>
                <w:szCs w:val="18"/>
              </w:rPr>
            </w:pPr>
            <w:r w:rsidRPr="00FD436C">
              <w:rPr>
                <w:sz w:val="20"/>
                <w:szCs w:val="18"/>
              </w:rPr>
              <w:t>2,2 Mrd. $</w:t>
            </w:r>
          </w:p>
        </w:tc>
      </w:tr>
      <w:tr w:rsidR="009B214D" w:rsidRPr="00FD436C" w14:paraId="5A5C1687" w14:textId="77777777" w:rsidTr="00FD436C">
        <w:trPr>
          <w:trHeight w:val="454"/>
        </w:trPr>
        <w:tc>
          <w:tcPr>
            <w:tcW w:w="6658" w:type="dxa"/>
            <w:vAlign w:val="center"/>
          </w:tcPr>
          <w:p w14:paraId="766AB6C5" w14:textId="77777777" w:rsidR="00FC4DCA" w:rsidRDefault="00C97518" w:rsidP="00FD436C">
            <w:pPr>
              <w:rPr>
                <w:sz w:val="20"/>
                <w:szCs w:val="18"/>
              </w:rPr>
            </w:pPr>
            <w:r w:rsidRPr="00FD436C">
              <w:rPr>
                <w:sz w:val="20"/>
                <w:szCs w:val="18"/>
              </w:rPr>
              <w:t>Mittlerer</w:t>
            </w:r>
            <w:r w:rsidR="009B214D" w:rsidRPr="00FD436C">
              <w:rPr>
                <w:sz w:val="20"/>
                <w:szCs w:val="18"/>
              </w:rPr>
              <w:t xml:space="preserve"> Immobilienwert eine</w:t>
            </w:r>
            <w:r w:rsidRPr="00FD436C">
              <w:rPr>
                <w:sz w:val="20"/>
                <w:szCs w:val="18"/>
              </w:rPr>
              <w:t>r eigen genutzten Wohnimmobilie</w:t>
            </w:r>
            <w:r w:rsidR="009B214D" w:rsidRPr="00FD436C">
              <w:rPr>
                <w:sz w:val="20"/>
                <w:szCs w:val="18"/>
              </w:rPr>
              <w:t>,</w:t>
            </w:r>
          </w:p>
          <w:p w14:paraId="67CC7857" w14:textId="76F28FD6" w:rsidR="009B214D" w:rsidRPr="00FD436C" w:rsidRDefault="009B214D" w:rsidP="00FD436C">
            <w:pPr>
              <w:rPr>
                <w:sz w:val="20"/>
                <w:szCs w:val="18"/>
              </w:rPr>
            </w:pPr>
            <w:r w:rsidRPr="00FD436C">
              <w:rPr>
                <w:sz w:val="20"/>
                <w:szCs w:val="18"/>
              </w:rPr>
              <w:t>2015 – 2019</w:t>
            </w:r>
          </w:p>
        </w:tc>
        <w:tc>
          <w:tcPr>
            <w:tcW w:w="1482" w:type="dxa"/>
            <w:vAlign w:val="center"/>
          </w:tcPr>
          <w:p w14:paraId="2A318B1B" w14:textId="3CAC6574" w:rsidR="009B214D" w:rsidRPr="00FD436C" w:rsidRDefault="009B214D" w:rsidP="00FD436C">
            <w:pPr>
              <w:rPr>
                <w:sz w:val="20"/>
                <w:szCs w:val="18"/>
              </w:rPr>
            </w:pPr>
            <w:r w:rsidRPr="00FD436C">
              <w:rPr>
                <w:sz w:val="20"/>
                <w:szCs w:val="18"/>
              </w:rPr>
              <w:t>1.711.300 $</w:t>
            </w:r>
          </w:p>
        </w:tc>
        <w:tc>
          <w:tcPr>
            <w:tcW w:w="1482" w:type="dxa"/>
            <w:vAlign w:val="center"/>
          </w:tcPr>
          <w:p w14:paraId="49B25B0E" w14:textId="5060A650" w:rsidR="009B214D" w:rsidRPr="00FD436C" w:rsidRDefault="009B214D" w:rsidP="00FD436C">
            <w:pPr>
              <w:rPr>
                <w:sz w:val="20"/>
                <w:szCs w:val="18"/>
              </w:rPr>
            </w:pPr>
            <w:r w:rsidRPr="00FD436C">
              <w:rPr>
                <w:sz w:val="20"/>
                <w:szCs w:val="18"/>
              </w:rPr>
              <w:t>337.400 $</w:t>
            </w:r>
          </w:p>
        </w:tc>
      </w:tr>
      <w:tr w:rsidR="004C586E" w:rsidRPr="00FD436C" w14:paraId="0C4FBE1B" w14:textId="77777777" w:rsidTr="00FD436C">
        <w:trPr>
          <w:trHeight w:val="454"/>
        </w:trPr>
        <w:tc>
          <w:tcPr>
            <w:tcW w:w="6658" w:type="dxa"/>
            <w:vAlign w:val="center"/>
          </w:tcPr>
          <w:p w14:paraId="1499918A" w14:textId="50BB043F" w:rsidR="004C586E" w:rsidRPr="00FD436C" w:rsidRDefault="004C586E" w:rsidP="00FD436C">
            <w:pPr>
              <w:rPr>
                <w:sz w:val="20"/>
                <w:szCs w:val="18"/>
              </w:rPr>
            </w:pPr>
            <w:r w:rsidRPr="00FD436C">
              <w:rPr>
                <w:sz w:val="20"/>
                <w:szCs w:val="18"/>
              </w:rPr>
              <w:t>Mittlere Bruttomiete eines Haushalts, 2015 – 2019</w:t>
            </w:r>
          </w:p>
        </w:tc>
        <w:tc>
          <w:tcPr>
            <w:tcW w:w="1482" w:type="dxa"/>
            <w:vAlign w:val="center"/>
          </w:tcPr>
          <w:p w14:paraId="62711FEA" w14:textId="0DC38264" w:rsidR="004C586E" w:rsidRPr="00FD436C" w:rsidRDefault="004C586E" w:rsidP="00FD436C">
            <w:pPr>
              <w:rPr>
                <w:sz w:val="20"/>
                <w:szCs w:val="18"/>
              </w:rPr>
            </w:pPr>
            <w:r w:rsidRPr="00FD436C">
              <w:rPr>
                <w:sz w:val="20"/>
                <w:szCs w:val="18"/>
              </w:rPr>
              <w:t>3.163 $</w:t>
            </w:r>
          </w:p>
        </w:tc>
        <w:tc>
          <w:tcPr>
            <w:tcW w:w="1482" w:type="dxa"/>
            <w:vAlign w:val="center"/>
          </w:tcPr>
          <w:p w14:paraId="28E24A79" w14:textId="1CA8AA85" w:rsidR="004C586E" w:rsidRPr="00FD436C" w:rsidRDefault="004C586E" w:rsidP="00FD436C">
            <w:pPr>
              <w:rPr>
                <w:sz w:val="20"/>
                <w:szCs w:val="18"/>
              </w:rPr>
            </w:pPr>
            <w:r w:rsidRPr="00FD436C">
              <w:rPr>
                <w:sz w:val="20"/>
                <w:szCs w:val="18"/>
              </w:rPr>
              <w:t>1.280 $</w:t>
            </w:r>
          </w:p>
        </w:tc>
      </w:tr>
      <w:tr w:rsidR="00D412C6" w:rsidRPr="00FD436C" w14:paraId="35611D78" w14:textId="77777777" w:rsidTr="00FD436C">
        <w:trPr>
          <w:trHeight w:val="454"/>
        </w:trPr>
        <w:tc>
          <w:tcPr>
            <w:tcW w:w="6658" w:type="dxa"/>
            <w:vAlign w:val="center"/>
          </w:tcPr>
          <w:p w14:paraId="18C03471" w14:textId="5CD39E18" w:rsidR="00D412C6" w:rsidRPr="00FD436C" w:rsidRDefault="005C2C4A" w:rsidP="00FD436C">
            <w:pPr>
              <w:rPr>
                <w:sz w:val="20"/>
                <w:szCs w:val="18"/>
              </w:rPr>
            </w:pPr>
            <w:r w:rsidRPr="00FD436C">
              <w:rPr>
                <w:sz w:val="20"/>
                <w:szCs w:val="18"/>
              </w:rPr>
              <w:t>Lebenshaltungskosten, 2019</w:t>
            </w:r>
          </w:p>
          <w:p w14:paraId="355AB5ED" w14:textId="7EA1B3E1" w:rsidR="005C2C4A" w:rsidRPr="00FD436C" w:rsidRDefault="005C2C4A" w:rsidP="00FD436C">
            <w:pPr>
              <w:rPr>
                <w:sz w:val="20"/>
                <w:szCs w:val="18"/>
              </w:rPr>
            </w:pPr>
            <w:r w:rsidRPr="00FD436C">
              <w:rPr>
                <w:sz w:val="20"/>
                <w:szCs w:val="18"/>
              </w:rPr>
              <w:t>(in %, USA = 100 %)</w:t>
            </w:r>
          </w:p>
        </w:tc>
        <w:tc>
          <w:tcPr>
            <w:tcW w:w="1482" w:type="dxa"/>
            <w:vAlign w:val="center"/>
          </w:tcPr>
          <w:p w14:paraId="7402271A" w14:textId="6C7A7955" w:rsidR="00D412C6" w:rsidRPr="00FD436C" w:rsidRDefault="005C2C4A" w:rsidP="00FD436C">
            <w:pPr>
              <w:rPr>
                <w:sz w:val="20"/>
                <w:szCs w:val="18"/>
              </w:rPr>
            </w:pPr>
            <w:r w:rsidRPr="00FD436C">
              <w:rPr>
                <w:sz w:val="20"/>
                <w:szCs w:val="18"/>
              </w:rPr>
              <w:t>354,6 %</w:t>
            </w:r>
          </w:p>
        </w:tc>
        <w:tc>
          <w:tcPr>
            <w:tcW w:w="1482" w:type="dxa"/>
            <w:vAlign w:val="center"/>
          </w:tcPr>
          <w:p w14:paraId="11A300C4" w14:textId="270890B0" w:rsidR="00D412C6" w:rsidRPr="00FD436C" w:rsidRDefault="005C2C4A" w:rsidP="00FD436C">
            <w:pPr>
              <w:rPr>
                <w:sz w:val="20"/>
                <w:szCs w:val="18"/>
              </w:rPr>
            </w:pPr>
            <w:r w:rsidRPr="00FD436C">
              <w:rPr>
                <w:sz w:val="20"/>
                <w:szCs w:val="18"/>
              </w:rPr>
              <w:t>119,3 %</w:t>
            </w:r>
          </w:p>
        </w:tc>
      </w:tr>
      <w:tr w:rsidR="00FE002E" w:rsidRPr="00FD436C" w14:paraId="694C11BB" w14:textId="77777777" w:rsidTr="00FD436C">
        <w:trPr>
          <w:trHeight w:val="454"/>
        </w:trPr>
        <w:tc>
          <w:tcPr>
            <w:tcW w:w="6658" w:type="dxa"/>
            <w:vAlign w:val="center"/>
          </w:tcPr>
          <w:p w14:paraId="5202633A" w14:textId="3FAF184E" w:rsidR="00FE002E" w:rsidRPr="00FD436C" w:rsidRDefault="00FE002E" w:rsidP="00FD436C">
            <w:pPr>
              <w:rPr>
                <w:sz w:val="20"/>
                <w:szCs w:val="18"/>
              </w:rPr>
            </w:pPr>
            <w:r>
              <w:rPr>
                <w:sz w:val="20"/>
                <w:szCs w:val="18"/>
              </w:rPr>
              <w:t>Steuern (</w:t>
            </w:r>
            <w:proofErr w:type="spellStart"/>
            <w:r>
              <w:rPr>
                <w:sz w:val="20"/>
                <w:szCs w:val="18"/>
              </w:rPr>
              <w:t>Sales</w:t>
            </w:r>
            <w:proofErr w:type="spellEnd"/>
            <w:r>
              <w:rPr>
                <w:sz w:val="20"/>
                <w:szCs w:val="18"/>
              </w:rPr>
              <w:t xml:space="preserve"> </w:t>
            </w:r>
            <w:proofErr w:type="spellStart"/>
            <w:r>
              <w:rPr>
                <w:sz w:val="20"/>
                <w:szCs w:val="18"/>
              </w:rPr>
              <w:t>Tax</w:t>
            </w:r>
            <w:proofErr w:type="spellEnd"/>
            <w:r w:rsidR="00CD0DEE">
              <w:rPr>
                <w:sz w:val="20"/>
                <w:szCs w:val="18"/>
              </w:rPr>
              <w:t xml:space="preserve"> Rate</w:t>
            </w:r>
            <w:r>
              <w:rPr>
                <w:sz w:val="20"/>
                <w:szCs w:val="18"/>
              </w:rPr>
              <w:t>), 2020</w:t>
            </w:r>
          </w:p>
        </w:tc>
        <w:tc>
          <w:tcPr>
            <w:tcW w:w="1482" w:type="dxa"/>
            <w:vAlign w:val="center"/>
          </w:tcPr>
          <w:p w14:paraId="40A59AA3" w14:textId="484215AF" w:rsidR="00FE002E" w:rsidRPr="00FD436C" w:rsidRDefault="00FE002E" w:rsidP="00FD436C">
            <w:pPr>
              <w:rPr>
                <w:sz w:val="20"/>
                <w:szCs w:val="18"/>
              </w:rPr>
            </w:pPr>
            <w:r>
              <w:rPr>
                <w:sz w:val="20"/>
                <w:szCs w:val="18"/>
              </w:rPr>
              <w:t>9 %</w:t>
            </w:r>
          </w:p>
        </w:tc>
        <w:tc>
          <w:tcPr>
            <w:tcW w:w="1482" w:type="dxa"/>
            <w:vAlign w:val="center"/>
          </w:tcPr>
          <w:p w14:paraId="2C2A2EA4" w14:textId="5A6A091D" w:rsidR="00FE002E" w:rsidRPr="00FD436C" w:rsidRDefault="00FE002E" w:rsidP="00FD436C">
            <w:pPr>
              <w:rPr>
                <w:sz w:val="20"/>
                <w:szCs w:val="18"/>
              </w:rPr>
            </w:pPr>
            <w:r>
              <w:rPr>
                <w:sz w:val="20"/>
                <w:szCs w:val="18"/>
              </w:rPr>
              <w:t>8,25 %</w:t>
            </w:r>
          </w:p>
        </w:tc>
      </w:tr>
      <w:tr w:rsidR="00CD0DEE" w:rsidRPr="00FD436C" w14:paraId="6172D253" w14:textId="77777777" w:rsidTr="00FD436C">
        <w:trPr>
          <w:trHeight w:val="454"/>
        </w:trPr>
        <w:tc>
          <w:tcPr>
            <w:tcW w:w="6658" w:type="dxa"/>
            <w:vAlign w:val="center"/>
          </w:tcPr>
          <w:p w14:paraId="20150058" w14:textId="627AB438" w:rsidR="00CD0DEE" w:rsidRDefault="00DD769E" w:rsidP="00FD436C">
            <w:pPr>
              <w:rPr>
                <w:sz w:val="20"/>
                <w:szCs w:val="18"/>
              </w:rPr>
            </w:pPr>
            <w:r>
              <w:rPr>
                <w:sz w:val="20"/>
                <w:szCs w:val="18"/>
              </w:rPr>
              <w:t>M</w:t>
            </w:r>
            <w:r>
              <w:rPr>
                <w:sz w:val="20"/>
              </w:rPr>
              <w:t xml:space="preserve">ittlere </w:t>
            </w:r>
            <w:r w:rsidR="004A7DC4">
              <w:rPr>
                <w:sz w:val="20"/>
                <w:szCs w:val="18"/>
              </w:rPr>
              <w:t>P</w:t>
            </w:r>
            <w:r w:rsidR="004A7DC4">
              <w:rPr>
                <w:sz w:val="20"/>
              </w:rPr>
              <w:t>endlerzeiten (in Minuten)</w:t>
            </w:r>
          </w:p>
        </w:tc>
        <w:tc>
          <w:tcPr>
            <w:tcW w:w="1482" w:type="dxa"/>
            <w:vAlign w:val="center"/>
          </w:tcPr>
          <w:p w14:paraId="60BAEF22" w14:textId="0C75F949" w:rsidR="00CD0DEE" w:rsidRDefault="00DD769E" w:rsidP="00FD436C">
            <w:pPr>
              <w:rPr>
                <w:sz w:val="20"/>
                <w:szCs w:val="18"/>
              </w:rPr>
            </w:pPr>
            <w:r>
              <w:rPr>
                <w:sz w:val="20"/>
                <w:szCs w:val="18"/>
              </w:rPr>
              <w:t>2</w:t>
            </w:r>
            <w:r>
              <w:rPr>
                <w:sz w:val="20"/>
              </w:rPr>
              <w:t>8,</w:t>
            </w:r>
            <w:r w:rsidR="004A7DC4">
              <w:rPr>
                <w:sz w:val="20"/>
              </w:rPr>
              <w:t>1</w:t>
            </w:r>
          </w:p>
        </w:tc>
        <w:tc>
          <w:tcPr>
            <w:tcW w:w="1482" w:type="dxa"/>
            <w:vAlign w:val="center"/>
          </w:tcPr>
          <w:p w14:paraId="7E74C9E8" w14:textId="1E84B3E5" w:rsidR="00CD0DEE" w:rsidRDefault="004A7DC4" w:rsidP="00FD436C">
            <w:pPr>
              <w:rPr>
                <w:sz w:val="20"/>
                <w:szCs w:val="18"/>
              </w:rPr>
            </w:pPr>
            <w:r>
              <w:rPr>
                <w:sz w:val="20"/>
                <w:szCs w:val="18"/>
              </w:rPr>
              <w:t>2</w:t>
            </w:r>
            <w:r w:rsidR="00DD769E">
              <w:rPr>
                <w:sz w:val="20"/>
              </w:rPr>
              <w:t>4</w:t>
            </w:r>
            <w:r>
              <w:rPr>
                <w:sz w:val="20"/>
              </w:rPr>
              <w:t>,1</w:t>
            </w:r>
          </w:p>
        </w:tc>
      </w:tr>
    </w:tbl>
    <w:p w14:paraId="61551DBF" w14:textId="3D7F5026" w:rsidR="00C4170E" w:rsidRDefault="00C4170E" w:rsidP="00DC0C7B"/>
    <w:p w14:paraId="2E297FAC" w14:textId="1A3B7C57" w:rsidR="005C2C4A" w:rsidRPr="00E36DF8" w:rsidRDefault="00E36DF8" w:rsidP="00DC0C7B">
      <w:pPr>
        <w:rPr>
          <w:i/>
          <w:iCs/>
          <w:sz w:val="18"/>
          <w:szCs w:val="18"/>
        </w:rPr>
      </w:pPr>
      <w:r w:rsidRPr="00E36DF8">
        <w:rPr>
          <w:i/>
          <w:iCs/>
          <w:sz w:val="18"/>
          <w:szCs w:val="18"/>
        </w:rPr>
        <w:t>(</w:t>
      </w:r>
      <w:hyperlink w:history="1"/>
      <w:hyperlink r:id="rId8" w:history="1">
        <w:r w:rsidR="002A6E2A" w:rsidRPr="00227157">
          <w:rPr>
            <w:rStyle w:val="Hyperlink"/>
            <w:rFonts w:cs="Arial"/>
            <w:i/>
            <w:iCs/>
            <w:sz w:val="18"/>
            <w:szCs w:val="18"/>
          </w:rPr>
          <w:t>https://www.census.gov/quickfacts/</w:t>
        </w:r>
      </w:hyperlink>
      <w:r w:rsidR="002A6E2A">
        <w:rPr>
          <w:i/>
          <w:iCs/>
          <w:sz w:val="18"/>
          <w:szCs w:val="18"/>
        </w:rPr>
        <w:t xml:space="preserve">, </w:t>
      </w:r>
      <w:hyperlink r:id="rId9" w:history="1">
        <w:r w:rsidR="00D412C6" w:rsidRPr="00E36DF8">
          <w:rPr>
            <w:rStyle w:val="Hyperlink"/>
            <w:rFonts w:cs="Arial"/>
            <w:i/>
            <w:iCs/>
            <w:sz w:val="18"/>
            <w:szCs w:val="18"/>
          </w:rPr>
          <w:t>https://ncses.nsf.gov/pubs/nsf21300</w:t>
        </w:r>
      </w:hyperlink>
      <w:r w:rsidRPr="00E36DF8">
        <w:rPr>
          <w:i/>
          <w:iCs/>
          <w:sz w:val="18"/>
          <w:szCs w:val="18"/>
        </w:rPr>
        <w:t xml:space="preserve">, </w:t>
      </w:r>
      <w:hyperlink r:id="rId10" w:history="1">
        <w:r w:rsidR="007E4297" w:rsidRPr="00E36DF8">
          <w:rPr>
            <w:rStyle w:val="Hyperlink"/>
            <w:rFonts w:cs="Arial"/>
            <w:i/>
            <w:iCs/>
            <w:sz w:val="18"/>
            <w:szCs w:val="18"/>
          </w:rPr>
          <w:t>https://graphics.wsj.com/table/CioSoft_0615</w:t>
        </w:r>
      </w:hyperlink>
      <w:r w:rsidRPr="00E36DF8">
        <w:rPr>
          <w:i/>
          <w:iCs/>
          <w:sz w:val="18"/>
          <w:szCs w:val="18"/>
        </w:rPr>
        <w:t>,</w:t>
      </w:r>
      <w:r w:rsidR="002A6E2A">
        <w:rPr>
          <w:i/>
          <w:iCs/>
          <w:sz w:val="18"/>
          <w:szCs w:val="18"/>
        </w:rPr>
        <w:t xml:space="preserve"> </w:t>
      </w:r>
      <w:hyperlink r:id="rId11" w:history="1">
        <w:r w:rsidR="00CD0DEE" w:rsidRPr="00227157">
          <w:rPr>
            <w:rStyle w:val="Hyperlink"/>
            <w:rFonts w:cs="Arial"/>
            <w:i/>
            <w:iCs/>
            <w:sz w:val="18"/>
            <w:szCs w:val="18"/>
          </w:rPr>
          <w:t>https://www.bestplaces.net</w:t>
        </w:r>
      </w:hyperlink>
      <w:r w:rsidR="00CD0DEE">
        <w:rPr>
          <w:i/>
          <w:iCs/>
          <w:sz w:val="18"/>
          <w:szCs w:val="18"/>
        </w:rPr>
        <w:t xml:space="preserve">, </w:t>
      </w:r>
      <w:r w:rsidR="002A6E2A">
        <w:rPr>
          <w:i/>
          <w:iCs/>
          <w:sz w:val="18"/>
          <w:szCs w:val="18"/>
        </w:rPr>
        <w:t>30</w:t>
      </w:r>
      <w:r w:rsidRPr="00E36DF8">
        <w:rPr>
          <w:i/>
          <w:iCs/>
          <w:sz w:val="18"/>
          <w:szCs w:val="18"/>
        </w:rPr>
        <w:t>.12.</w:t>
      </w:r>
      <w:r w:rsidR="002A6E2A">
        <w:rPr>
          <w:i/>
          <w:iCs/>
          <w:sz w:val="18"/>
          <w:szCs w:val="18"/>
        </w:rPr>
        <w:t>1020</w:t>
      </w:r>
      <w:r w:rsidR="00CD0DEE">
        <w:rPr>
          <w:i/>
          <w:iCs/>
          <w:sz w:val="18"/>
          <w:szCs w:val="18"/>
        </w:rPr>
        <w:t>)</w:t>
      </w:r>
    </w:p>
    <w:p w14:paraId="33A671B4" w14:textId="260ECB9F" w:rsidR="00E630F6" w:rsidRDefault="00E630F6" w:rsidP="00DC0C7B"/>
    <w:p w14:paraId="20A65B85" w14:textId="2911BF1B" w:rsidR="00FD436C" w:rsidRDefault="00FD436C" w:rsidP="00DC0C7B"/>
    <w:p w14:paraId="28DD34B8" w14:textId="77777777" w:rsidR="00FD436C" w:rsidRDefault="00FD436C" w:rsidP="00DC0C7B"/>
    <w:p w14:paraId="3371A0C6" w14:textId="07007B01" w:rsidR="006B05D3" w:rsidRDefault="00FD436C" w:rsidP="00DC0C7B">
      <w:r>
        <w:t>M5 – Analysespinne</w:t>
      </w:r>
    </w:p>
    <w:p w14:paraId="01B459C1" w14:textId="387B8458" w:rsidR="00FD436C" w:rsidRDefault="00FD436C" w:rsidP="00DC0C7B"/>
    <w:p w14:paraId="7590F989" w14:textId="77777777" w:rsidR="00FD436C" w:rsidRDefault="00FD436C" w:rsidP="00DC0C7B"/>
    <w:p w14:paraId="6ABEF5C7" w14:textId="6E42FCAB" w:rsidR="00902BDE" w:rsidRDefault="00FD436C" w:rsidP="007A7605">
      <w:pPr>
        <w:jc w:val="center"/>
      </w:pPr>
      <w:r>
        <w:rPr>
          <w:b/>
          <w:noProof/>
          <w:sz w:val="22"/>
        </w:rPr>
        <w:drawing>
          <wp:inline distT="0" distB="0" distL="0" distR="0" wp14:anchorId="6F057F39" wp14:editId="77E627CA">
            <wp:extent cx="4272988" cy="4133243"/>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espinne_Vorlage gelb.png"/>
                    <pic:cNvPicPr/>
                  </pic:nvPicPr>
                  <pic:blipFill rotWithShape="1">
                    <a:blip r:embed="rId12"/>
                    <a:srcRect l="7529" t="-1436" r="5097" b="16597"/>
                    <a:stretch/>
                  </pic:blipFill>
                  <pic:spPr bwMode="auto">
                    <a:xfrm>
                      <a:off x="0" y="0"/>
                      <a:ext cx="4286400" cy="4146217"/>
                    </a:xfrm>
                    <a:prstGeom prst="ellipse">
                      <a:avLst/>
                    </a:prstGeom>
                    <a:ln>
                      <a:noFill/>
                    </a:ln>
                    <a:extLst>
                      <a:ext uri="{53640926-AAD7-44D8-BBD7-CCE9431645EC}">
                        <a14:shadowObscured xmlns:a14="http://schemas.microsoft.com/office/drawing/2010/main"/>
                      </a:ext>
                    </a:extLst>
                  </pic:spPr>
                </pic:pic>
              </a:graphicData>
            </a:graphic>
          </wp:inline>
        </w:drawing>
      </w:r>
    </w:p>
    <w:sectPr w:rsidR="00902BDE" w:rsidSect="004A1E88">
      <w:footerReference w:type="default" r:id="rId13"/>
      <w:pgSz w:w="11900" w:h="16820"/>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EE85A" w14:textId="77777777" w:rsidR="00AC2DCF" w:rsidRDefault="00AC2DCF" w:rsidP="009D642F">
      <w:r>
        <w:separator/>
      </w:r>
    </w:p>
  </w:endnote>
  <w:endnote w:type="continuationSeparator" w:id="0">
    <w:p w14:paraId="4F43C29A" w14:textId="77777777" w:rsidR="00AC2DCF" w:rsidRDefault="00AC2DCF" w:rsidP="009D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141E6" w14:textId="56DF5B98" w:rsidR="009D642F" w:rsidRDefault="00452ACD" w:rsidP="00811980">
    <w:pPr>
      <w:pStyle w:val="Fuzeile"/>
      <w:pBdr>
        <w:top w:val="single" w:sz="4" w:space="4" w:color="auto"/>
      </w:pBdr>
      <w:tabs>
        <w:tab w:val="left" w:pos="993"/>
        <w:tab w:val="left" w:pos="1276"/>
        <w:tab w:val="left" w:pos="11482"/>
      </w:tabs>
      <w:spacing w:before="100" w:beforeAutospacing="1" w:after="100" w:afterAutospacing="1"/>
      <w:contextualSpacing/>
      <w:jc w:val="center"/>
      <w:rPr>
        <w:bCs/>
        <w:sz w:val="20"/>
        <w:szCs w:val="20"/>
      </w:rPr>
    </w:pPr>
    <w:r w:rsidRPr="00BF0848">
      <w:rPr>
        <w:bCs/>
        <w:noProof/>
        <w:sz w:val="20"/>
        <w:szCs w:val="20"/>
      </w:rPr>
      <mc:AlternateContent>
        <mc:Choice Requires="wps">
          <w:drawing>
            <wp:anchor distT="0" distB="0" distL="114300" distR="114300" simplePos="0" relativeHeight="251663360" behindDoc="0" locked="0" layoutInCell="1" allowOverlap="1" wp14:anchorId="3A966CCD" wp14:editId="18F1D98E">
              <wp:simplePos x="0" y="0"/>
              <wp:positionH relativeFrom="column">
                <wp:posOffset>5349240</wp:posOffset>
              </wp:positionH>
              <wp:positionV relativeFrom="paragraph">
                <wp:posOffset>10160</wp:posOffset>
              </wp:positionV>
              <wp:extent cx="781685" cy="485775"/>
              <wp:effectExtent l="0" t="0" r="5715" b="0"/>
              <wp:wrapNone/>
              <wp:docPr id="10" name="Textfeld 10"/>
              <wp:cNvGraphicFramePr/>
              <a:graphic xmlns:a="http://schemas.openxmlformats.org/drawingml/2006/main">
                <a:graphicData uri="http://schemas.microsoft.com/office/word/2010/wordprocessingShape">
                  <wps:wsp>
                    <wps:cNvSpPr txBox="1"/>
                    <wps:spPr>
                      <a:xfrm>
                        <a:off x="0" y="0"/>
                        <a:ext cx="781685" cy="485775"/>
                      </a:xfrm>
                      <a:prstGeom prst="rect">
                        <a:avLst/>
                      </a:prstGeom>
                      <a:solidFill>
                        <a:schemeClr val="lt1"/>
                      </a:solidFill>
                      <a:ln w="6350">
                        <a:noFill/>
                      </a:ln>
                    </wps:spPr>
                    <wps:txbx>
                      <w:txbxContent>
                        <w:p w14:paraId="5D987D79" w14:textId="77777777" w:rsidR="00452ACD" w:rsidRDefault="00452ACD" w:rsidP="00452ACD">
                          <w:r>
                            <w:rPr>
                              <w:b/>
                              <w:noProof/>
                            </w:rPr>
                            <w:drawing>
                              <wp:inline distT="0" distB="0" distL="0" distR="0" wp14:anchorId="3E1285C4" wp14:editId="67A27EE0">
                                <wp:extent cx="583591" cy="369989"/>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611461" cy="387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6CCD" id="_x0000_t202" coordsize="21600,21600" o:spt="202" path="m,l,21600r21600,l21600,xe">
              <v:stroke joinstyle="miter"/>
              <v:path gradientshapeok="t" o:connecttype="rect"/>
            </v:shapetype>
            <v:shape id="Textfeld 10" o:spid="_x0000_s1026" type="#_x0000_t202" style="position:absolute;left:0;text-align:left;margin-left:421.2pt;margin-top:.8pt;width:61.5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" fillcolor="white [3201]" stroked="f" strokeweight=".5pt">
              <v:textbox>
                <w:txbxContent>
                  <w:p w14:paraId="5D987D79" w14:textId="77777777" w:rsidR="00452ACD" w:rsidRDefault="00452ACD" w:rsidP="00452ACD">
                    <w:r>
                      <w:rPr>
                        <w:b/>
                        <w:noProof/>
                      </w:rPr>
                      <w:drawing>
                        <wp:inline distT="0" distB="0" distL="0" distR="0" wp14:anchorId="3E1285C4" wp14:editId="67A27EE0">
                          <wp:extent cx="583591" cy="369989"/>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stretch>
                                    <a:fillRect/>
                                  </a:stretch>
                                </pic:blipFill>
                                <pic:spPr>
                                  <a:xfrm>
                                    <a:off x="0" y="0"/>
                                    <a:ext cx="611461" cy="387658"/>
                                  </a:xfrm>
                                  <a:prstGeom prst="rect">
                                    <a:avLst/>
                                  </a:prstGeom>
                                </pic:spPr>
                              </pic:pic>
                            </a:graphicData>
                          </a:graphic>
                        </wp:inline>
                      </w:drawing>
                    </w:r>
                  </w:p>
                </w:txbxContent>
              </v:textbox>
            </v:shape>
          </w:pict>
        </mc:Fallback>
      </mc:AlternateContent>
    </w:r>
    <w:r w:rsidR="00811980" w:rsidRPr="00BF0848">
      <w:rPr>
        <w:bCs/>
        <w:noProof/>
        <w:sz w:val="20"/>
        <w:szCs w:val="20"/>
      </w:rPr>
      <mc:AlternateContent>
        <mc:Choice Requires="wps">
          <w:drawing>
            <wp:anchor distT="0" distB="0" distL="114300" distR="114300" simplePos="0" relativeHeight="251659264" behindDoc="0" locked="0" layoutInCell="1" allowOverlap="1" wp14:anchorId="3A3BBD85" wp14:editId="4F874631">
              <wp:simplePos x="0" y="0"/>
              <wp:positionH relativeFrom="column">
                <wp:posOffset>8285686</wp:posOffset>
              </wp:positionH>
              <wp:positionV relativeFrom="paragraph">
                <wp:posOffset>10160</wp:posOffset>
              </wp:positionV>
              <wp:extent cx="781685" cy="485775"/>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781685" cy="485775"/>
                      </a:xfrm>
                      <a:prstGeom prst="rect">
                        <a:avLst/>
                      </a:prstGeom>
                      <a:solidFill>
                        <a:schemeClr val="lt1"/>
                      </a:solidFill>
                      <a:ln w="6350">
                        <a:noFill/>
                      </a:ln>
                    </wps:spPr>
                    <wps:txbx>
                      <w:txbxContent>
                        <w:p w14:paraId="600526DB" w14:textId="524B9B6F" w:rsidR="00811980" w:rsidRDefault="00811980">
                          <w:r>
                            <w:rPr>
                              <w:b/>
                              <w:noProof/>
                            </w:rPr>
                            <w:drawing>
                              <wp:inline distT="0" distB="0" distL="0" distR="0" wp14:anchorId="3996D893" wp14:editId="277D0909">
                                <wp:extent cx="583591" cy="369989"/>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611461" cy="387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BD85" id="Textfeld 2" o:spid="_x0000_s1027" type="#_x0000_t202" style="position:absolute;left:0;text-align:left;margin-left:652.4pt;margin-top:.8pt;width:61.5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" fillcolor="white [3201]" stroked="f" strokeweight=".5pt">
              <v:textbox>
                <w:txbxContent>
                  <w:p w14:paraId="600526DB" w14:textId="524B9B6F" w:rsidR="00811980" w:rsidRDefault="00811980">
                    <w:r>
                      <w:rPr>
                        <w:b/>
                        <w:noProof/>
                      </w:rPr>
                      <w:drawing>
                        <wp:inline distT="0" distB="0" distL="0" distR="0" wp14:anchorId="3996D893" wp14:editId="277D0909">
                          <wp:extent cx="583591" cy="369989"/>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stretch>
                                    <a:fillRect/>
                                  </a:stretch>
                                </pic:blipFill>
                                <pic:spPr>
                                  <a:xfrm>
                                    <a:off x="0" y="0"/>
                                    <a:ext cx="611461" cy="387658"/>
                                  </a:xfrm>
                                  <a:prstGeom prst="rect">
                                    <a:avLst/>
                                  </a:prstGeom>
                                </pic:spPr>
                              </pic:pic>
                            </a:graphicData>
                          </a:graphic>
                        </wp:inline>
                      </w:drawing>
                    </w:r>
                  </w:p>
                </w:txbxContent>
              </v:textbox>
            </v:shape>
          </w:pict>
        </mc:Fallback>
      </mc:AlternateContent>
    </w:r>
    <w:r w:rsidR="00811980" w:rsidRPr="00BF0848">
      <w:rPr>
        <w:bCs/>
        <w:noProof/>
        <w:sz w:val="20"/>
        <w:szCs w:val="20"/>
      </w:rPr>
      <mc:AlternateContent>
        <mc:Choice Requires="wps">
          <w:drawing>
            <wp:anchor distT="0" distB="0" distL="114300" distR="114300" simplePos="0" relativeHeight="251661312" behindDoc="0" locked="0" layoutInCell="1" allowOverlap="1" wp14:anchorId="43DC8314" wp14:editId="59947AC5">
              <wp:simplePos x="0" y="0"/>
              <wp:positionH relativeFrom="column">
                <wp:posOffset>-15034</wp:posOffset>
              </wp:positionH>
              <wp:positionV relativeFrom="paragraph">
                <wp:posOffset>9525</wp:posOffset>
              </wp:positionV>
              <wp:extent cx="781685" cy="485775"/>
              <wp:effectExtent l="0" t="0" r="5715" b="0"/>
              <wp:wrapNone/>
              <wp:docPr id="3" name="Textfeld 3"/>
              <wp:cNvGraphicFramePr/>
              <a:graphic xmlns:a="http://schemas.openxmlformats.org/drawingml/2006/main">
                <a:graphicData uri="http://schemas.microsoft.com/office/word/2010/wordprocessingShape">
                  <wps:wsp>
                    <wps:cNvSpPr txBox="1"/>
                    <wps:spPr>
                      <a:xfrm>
                        <a:off x="0" y="0"/>
                        <a:ext cx="781685" cy="485775"/>
                      </a:xfrm>
                      <a:prstGeom prst="rect">
                        <a:avLst/>
                      </a:prstGeom>
                      <a:solidFill>
                        <a:schemeClr val="lt1"/>
                      </a:solidFill>
                      <a:ln w="6350">
                        <a:noFill/>
                      </a:ln>
                    </wps:spPr>
                    <wps:txbx>
                      <w:txbxContent>
                        <w:p w14:paraId="79B18DDD" w14:textId="16CD3DD3" w:rsidR="00811980" w:rsidRDefault="00811980" w:rsidP="00C9374B">
                          <w:r w:rsidRPr="00811980">
                            <w:rPr>
                              <w:b/>
                              <w:noProof/>
                            </w:rPr>
                            <w:drawing>
                              <wp:inline distT="0" distB="0" distL="0" distR="0" wp14:anchorId="5AC992E1" wp14:editId="0214A9AB">
                                <wp:extent cx="280670" cy="387985"/>
                                <wp:effectExtent l="0" t="0" r="0" b="571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80670" cy="387985"/>
                                        </a:xfrm>
                                        <a:prstGeom prst="rect">
                                          <a:avLst/>
                                        </a:prstGeom>
                                      </pic:spPr>
                                    </pic:pic>
                                  </a:graphicData>
                                </a:graphic>
                              </wp:inline>
                            </w:drawing>
                          </w:r>
                          <w:r>
                            <w:rPr>
                              <w:b/>
                              <w:noProof/>
                            </w:rPr>
                            <w:drawing>
                              <wp:inline distT="0" distB="0" distL="0" distR="0" wp14:anchorId="26317B0A" wp14:editId="534A02DA">
                                <wp:extent cx="583591" cy="369989"/>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611461" cy="387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C8314" id="Textfeld 3" o:spid="_x0000_s1028" type="#_x0000_t202" style="position:absolute;left:0;text-align:left;margin-left:-1.2pt;margin-top:.75pt;width:61.5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" fillcolor="white [3201]" stroked="f" strokeweight=".5pt">
              <v:textbox>
                <w:txbxContent>
                  <w:p w14:paraId="79B18DDD" w14:textId="16CD3DD3" w:rsidR="00811980" w:rsidRDefault="00811980" w:rsidP="00C9374B">
                    <w:r w:rsidRPr="00811980">
                      <w:rPr>
                        <w:b/>
                        <w:noProof/>
                      </w:rPr>
                      <w:drawing>
                        <wp:inline distT="0" distB="0" distL="0" distR="0" wp14:anchorId="5AC992E1" wp14:editId="0214A9AB">
                          <wp:extent cx="280670" cy="387985"/>
                          <wp:effectExtent l="0" t="0" r="0" b="571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0670" cy="387985"/>
                                  </a:xfrm>
                                  <a:prstGeom prst="rect">
                                    <a:avLst/>
                                  </a:prstGeom>
                                </pic:spPr>
                              </pic:pic>
                            </a:graphicData>
                          </a:graphic>
                        </wp:inline>
                      </w:drawing>
                    </w:r>
                    <w:r>
                      <w:rPr>
                        <w:b/>
                        <w:noProof/>
                      </w:rPr>
                      <w:drawing>
                        <wp:inline distT="0" distB="0" distL="0" distR="0" wp14:anchorId="26317B0A" wp14:editId="534A02DA">
                          <wp:extent cx="583591" cy="369989"/>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stretch>
                                    <a:fillRect/>
                                  </a:stretch>
                                </pic:blipFill>
                                <pic:spPr>
                                  <a:xfrm>
                                    <a:off x="0" y="0"/>
                                    <a:ext cx="611461" cy="387658"/>
                                  </a:xfrm>
                                  <a:prstGeom prst="rect">
                                    <a:avLst/>
                                  </a:prstGeom>
                                </pic:spPr>
                              </pic:pic>
                            </a:graphicData>
                          </a:graphic>
                        </wp:inline>
                      </w:drawing>
                    </w:r>
                  </w:p>
                </w:txbxContent>
              </v:textbox>
            </v:shape>
          </w:pict>
        </mc:Fallback>
      </mc:AlternateContent>
    </w:r>
    <w:r w:rsidR="00BF0848">
      <w:rPr>
        <w:bCs/>
        <w:noProof/>
        <w:sz w:val="20"/>
        <w:szCs w:val="20"/>
      </w:rPr>
      <w:t>Schwerpunktthemen</w:t>
    </w:r>
    <w:r w:rsidR="00811980" w:rsidRPr="00BF0848">
      <w:rPr>
        <w:bCs/>
        <w:sz w:val="20"/>
        <w:szCs w:val="20"/>
      </w:rPr>
      <w:t xml:space="preserve"> Geographie</w:t>
    </w:r>
    <w:r w:rsidR="00BF0848">
      <w:rPr>
        <w:bCs/>
        <w:sz w:val="20"/>
        <w:szCs w:val="20"/>
      </w:rPr>
      <w:t xml:space="preserve"> ab Abitur 2023</w:t>
    </w:r>
  </w:p>
  <w:p w14:paraId="51C9C988" w14:textId="52414084" w:rsidR="00BF0848" w:rsidRPr="00BF0848" w:rsidRDefault="00BF0848" w:rsidP="00811980">
    <w:pPr>
      <w:pStyle w:val="Fuzeile"/>
      <w:pBdr>
        <w:top w:val="single" w:sz="4" w:space="4" w:color="auto"/>
      </w:pBdr>
      <w:tabs>
        <w:tab w:val="left" w:pos="993"/>
        <w:tab w:val="left" w:pos="1276"/>
        <w:tab w:val="left" w:pos="11482"/>
      </w:tabs>
      <w:spacing w:before="100" w:beforeAutospacing="1" w:after="100" w:afterAutospacing="1"/>
      <w:contextualSpacing/>
      <w:jc w:val="center"/>
      <w:rPr>
        <w:bCs/>
        <w:sz w:val="20"/>
        <w:szCs w:val="20"/>
      </w:rPr>
    </w:pPr>
    <w:r>
      <w:rPr>
        <w:bCs/>
        <w:sz w:val="20"/>
        <w:szCs w:val="20"/>
      </w:rPr>
      <w:t>Raumstrukturen DS3 AB1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AC3C8" w14:textId="77777777" w:rsidR="00AC2DCF" w:rsidRDefault="00AC2DCF" w:rsidP="009D642F">
      <w:r>
        <w:separator/>
      </w:r>
    </w:p>
  </w:footnote>
  <w:footnote w:type="continuationSeparator" w:id="0">
    <w:p w14:paraId="7C72A44F" w14:textId="77777777" w:rsidR="00AC2DCF" w:rsidRDefault="00AC2DCF" w:rsidP="009D6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50DF4"/>
    <w:multiLevelType w:val="hybridMultilevel"/>
    <w:tmpl w:val="40BE3446"/>
    <w:lvl w:ilvl="0" w:tplc="B1F4649C">
      <w:start w:val="1"/>
      <w:numFmt w:val="decimal"/>
      <w:lvlText w:val="%1."/>
      <w:lvlJc w:val="left"/>
      <w:pPr>
        <w:ind w:left="360" w:hanging="360"/>
      </w:pPr>
      <w:rPr>
        <w:rFonts w:hint="default"/>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AA42BC6"/>
    <w:multiLevelType w:val="hybridMultilevel"/>
    <w:tmpl w:val="A4802CDE"/>
    <w:lvl w:ilvl="0" w:tplc="8BA47C02">
      <w:start w:val="1"/>
      <w:numFmt w:val="bullet"/>
      <w:lvlText w:val=""/>
      <w:lvlJc w:val="left"/>
      <w:pPr>
        <w:ind w:left="360" w:hanging="360"/>
      </w:pPr>
      <w:rPr>
        <w:rFonts w:ascii="Symbol" w:hAnsi="Symbol" w:hint="default"/>
      </w:rPr>
    </w:lvl>
    <w:lvl w:ilvl="1" w:tplc="7A5EC9D0">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0B6280C"/>
    <w:multiLevelType w:val="hybridMultilevel"/>
    <w:tmpl w:val="DC903EBA"/>
    <w:lvl w:ilvl="0" w:tplc="70A871E4">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334473"/>
    <w:multiLevelType w:val="hybridMultilevel"/>
    <w:tmpl w:val="457E588A"/>
    <w:lvl w:ilvl="0" w:tplc="04070015">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1D73CC0"/>
    <w:multiLevelType w:val="hybridMultilevel"/>
    <w:tmpl w:val="E02A680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36E134C"/>
    <w:multiLevelType w:val="hybridMultilevel"/>
    <w:tmpl w:val="5436EBE2"/>
    <w:lvl w:ilvl="0" w:tplc="5274B1EC">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7D771064"/>
    <w:multiLevelType w:val="hybridMultilevel"/>
    <w:tmpl w:val="C00C0D32"/>
    <w:lvl w:ilvl="0" w:tplc="7624BEA8">
      <w:start w:val="1"/>
      <w:numFmt w:val="bullet"/>
      <w:lvlText w:val="-"/>
      <w:lvlJc w:val="left"/>
      <w:pPr>
        <w:tabs>
          <w:tab w:val="num" w:pos="380"/>
        </w:tabs>
        <w:ind w:left="380" w:hanging="360"/>
      </w:pPr>
      <w:rPr>
        <w:rFonts w:ascii="Courier New" w:hAnsi="Courier New" w:hint="default"/>
      </w:rPr>
    </w:lvl>
    <w:lvl w:ilvl="1" w:tplc="04070003">
      <w:start w:val="1"/>
      <w:numFmt w:val="bullet"/>
      <w:lvlText w:val="o"/>
      <w:lvlJc w:val="left"/>
      <w:pPr>
        <w:tabs>
          <w:tab w:val="num" w:pos="380"/>
        </w:tabs>
        <w:ind w:left="380" w:hanging="360"/>
      </w:pPr>
      <w:rPr>
        <w:rFonts w:ascii="Courier New" w:hAnsi="Courier New" w:cs="Courier New" w:hint="default"/>
      </w:rPr>
    </w:lvl>
    <w:lvl w:ilvl="2" w:tplc="04070005">
      <w:start w:val="1"/>
      <w:numFmt w:val="bullet"/>
      <w:lvlText w:val=""/>
      <w:lvlJc w:val="left"/>
      <w:pPr>
        <w:tabs>
          <w:tab w:val="num" w:pos="1100"/>
        </w:tabs>
        <w:ind w:left="1100" w:hanging="360"/>
      </w:pPr>
      <w:rPr>
        <w:rFonts w:ascii="Wingdings" w:hAnsi="Wingdings" w:hint="default"/>
      </w:rPr>
    </w:lvl>
    <w:lvl w:ilvl="3" w:tplc="04070001" w:tentative="1">
      <w:start w:val="1"/>
      <w:numFmt w:val="bullet"/>
      <w:lvlText w:val=""/>
      <w:lvlJc w:val="left"/>
      <w:pPr>
        <w:tabs>
          <w:tab w:val="num" w:pos="1820"/>
        </w:tabs>
        <w:ind w:left="1820" w:hanging="360"/>
      </w:pPr>
      <w:rPr>
        <w:rFonts w:ascii="Symbol" w:hAnsi="Symbol" w:hint="default"/>
      </w:rPr>
    </w:lvl>
    <w:lvl w:ilvl="4" w:tplc="04070003" w:tentative="1">
      <w:start w:val="1"/>
      <w:numFmt w:val="bullet"/>
      <w:lvlText w:val="o"/>
      <w:lvlJc w:val="left"/>
      <w:pPr>
        <w:tabs>
          <w:tab w:val="num" w:pos="2540"/>
        </w:tabs>
        <w:ind w:left="2540" w:hanging="360"/>
      </w:pPr>
      <w:rPr>
        <w:rFonts w:ascii="Courier New" w:hAnsi="Courier New" w:cs="Courier New" w:hint="default"/>
      </w:rPr>
    </w:lvl>
    <w:lvl w:ilvl="5" w:tplc="04070005" w:tentative="1">
      <w:start w:val="1"/>
      <w:numFmt w:val="bullet"/>
      <w:lvlText w:val=""/>
      <w:lvlJc w:val="left"/>
      <w:pPr>
        <w:tabs>
          <w:tab w:val="num" w:pos="3260"/>
        </w:tabs>
        <w:ind w:left="3260" w:hanging="360"/>
      </w:pPr>
      <w:rPr>
        <w:rFonts w:ascii="Wingdings" w:hAnsi="Wingdings" w:hint="default"/>
      </w:rPr>
    </w:lvl>
    <w:lvl w:ilvl="6" w:tplc="04070001" w:tentative="1">
      <w:start w:val="1"/>
      <w:numFmt w:val="bullet"/>
      <w:lvlText w:val=""/>
      <w:lvlJc w:val="left"/>
      <w:pPr>
        <w:tabs>
          <w:tab w:val="num" w:pos="3980"/>
        </w:tabs>
        <w:ind w:left="3980" w:hanging="360"/>
      </w:pPr>
      <w:rPr>
        <w:rFonts w:ascii="Symbol" w:hAnsi="Symbol" w:hint="default"/>
      </w:rPr>
    </w:lvl>
    <w:lvl w:ilvl="7" w:tplc="04070003" w:tentative="1">
      <w:start w:val="1"/>
      <w:numFmt w:val="bullet"/>
      <w:lvlText w:val="o"/>
      <w:lvlJc w:val="left"/>
      <w:pPr>
        <w:tabs>
          <w:tab w:val="num" w:pos="4700"/>
        </w:tabs>
        <w:ind w:left="4700" w:hanging="360"/>
      </w:pPr>
      <w:rPr>
        <w:rFonts w:ascii="Courier New" w:hAnsi="Courier New" w:cs="Courier New" w:hint="default"/>
      </w:rPr>
    </w:lvl>
    <w:lvl w:ilvl="8" w:tplc="04070005" w:tentative="1">
      <w:start w:val="1"/>
      <w:numFmt w:val="bullet"/>
      <w:lvlText w:val=""/>
      <w:lvlJc w:val="left"/>
      <w:pPr>
        <w:tabs>
          <w:tab w:val="num" w:pos="5420"/>
        </w:tabs>
        <w:ind w:left="542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14"/>
    <w:rsid w:val="000359E5"/>
    <w:rsid w:val="00037DB3"/>
    <w:rsid w:val="000545F8"/>
    <w:rsid w:val="0007015C"/>
    <w:rsid w:val="000E2B64"/>
    <w:rsid w:val="000F37FE"/>
    <w:rsid w:val="00104E7E"/>
    <w:rsid w:val="00110414"/>
    <w:rsid w:val="00131A61"/>
    <w:rsid w:val="001E06AE"/>
    <w:rsid w:val="002047DD"/>
    <w:rsid w:val="002566AA"/>
    <w:rsid w:val="00266134"/>
    <w:rsid w:val="00267D8A"/>
    <w:rsid w:val="00292FA2"/>
    <w:rsid w:val="002A6E2A"/>
    <w:rsid w:val="002C0E8D"/>
    <w:rsid w:val="002C6AB5"/>
    <w:rsid w:val="002D7AA1"/>
    <w:rsid w:val="002E1128"/>
    <w:rsid w:val="00302796"/>
    <w:rsid w:val="0032625A"/>
    <w:rsid w:val="003979CA"/>
    <w:rsid w:val="003A5CCA"/>
    <w:rsid w:val="003C654B"/>
    <w:rsid w:val="0042030C"/>
    <w:rsid w:val="004363D7"/>
    <w:rsid w:val="00452ACD"/>
    <w:rsid w:val="0048335E"/>
    <w:rsid w:val="004850FB"/>
    <w:rsid w:val="00491880"/>
    <w:rsid w:val="004A1E88"/>
    <w:rsid w:val="004A3F2B"/>
    <w:rsid w:val="004A69BE"/>
    <w:rsid w:val="004A7DC4"/>
    <w:rsid w:val="004B04AC"/>
    <w:rsid w:val="004C5166"/>
    <w:rsid w:val="004C586E"/>
    <w:rsid w:val="004D7AF3"/>
    <w:rsid w:val="005056F7"/>
    <w:rsid w:val="005151EB"/>
    <w:rsid w:val="00534810"/>
    <w:rsid w:val="005412F1"/>
    <w:rsid w:val="00563B89"/>
    <w:rsid w:val="0057598D"/>
    <w:rsid w:val="005B18A1"/>
    <w:rsid w:val="005C2C4A"/>
    <w:rsid w:val="005C741A"/>
    <w:rsid w:val="005D0EF1"/>
    <w:rsid w:val="005F635B"/>
    <w:rsid w:val="00603470"/>
    <w:rsid w:val="00604604"/>
    <w:rsid w:val="006216B3"/>
    <w:rsid w:val="006261AD"/>
    <w:rsid w:val="00633CCE"/>
    <w:rsid w:val="00650693"/>
    <w:rsid w:val="006654B1"/>
    <w:rsid w:val="0067564F"/>
    <w:rsid w:val="006B05D3"/>
    <w:rsid w:val="006B4637"/>
    <w:rsid w:val="006C06DF"/>
    <w:rsid w:val="006C63FD"/>
    <w:rsid w:val="006D6F70"/>
    <w:rsid w:val="006D7C12"/>
    <w:rsid w:val="006E2EBB"/>
    <w:rsid w:val="006F126E"/>
    <w:rsid w:val="00714840"/>
    <w:rsid w:val="00724612"/>
    <w:rsid w:val="00724E53"/>
    <w:rsid w:val="007511C8"/>
    <w:rsid w:val="00786AE5"/>
    <w:rsid w:val="00786ED6"/>
    <w:rsid w:val="007A7605"/>
    <w:rsid w:val="007C319A"/>
    <w:rsid w:val="007C363F"/>
    <w:rsid w:val="007D4DFD"/>
    <w:rsid w:val="007E4297"/>
    <w:rsid w:val="007F45ED"/>
    <w:rsid w:val="00811980"/>
    <w:rsid w:val="00823E32"/>
    <w:rsid w:val="00833145"/>
    <w:rsid w:val="008627F1"/>
    <w:rsid w:val="00876EB4"/>
    <w:rsid w:val="008879F2"/>
    <w:rsid w:val="008966A9"/>
    <w:rsid w:val="008B4BE8"/>
    <w:rsid w:val="008D0D74"/>
    <w:rsid w:val="00902BDE"/>
    <w:rsid w:val="00903383"/>
    <w:rsid w:val="00903AF1"/>
    <w:rsid w:val="00912BD6"/>
    <w:rsid w:val="00925E79"/>
    <w:rsid w:val="0092651B"/>
    <w:rsid w:val="00944345"/>
    <w:rsid w:val="00950826"/>
    <w:rsid w:val="0096723E"/>
    <w:rsid w:val="00972E6A"/>
    <w:rsid w:val="009756B1"/>
    <w:rsid w:val="00980671"/>
    <w:rsid w:val="009B214D"/>
    <w:rsid w:val="009C5116"/>
    <w:rsid w:val="009D642F"/>
    <w:rsid w:val="009F2009"/>
    <w:rsid w:val="00A1720F"/>
    <w:rsid w:val="00A43E5B"/>
    <w:rsid w:val="00A46E50"/>
    <w:rsid w:val="00A60918"/>
    <w:rsid w:val="00A7212B"/>
    <w:rsid w:val="00AC2DCF"/>
    <w:rsid w:val="00AD4B61"/>
    <w:rsid w:val="00AD6B27"/>
    <w:rsid w:val="00AD7619"/>
    <w:rsid w:val="00B12F5D"/>
    <w:rsid w:val="00B16E34"/>
    <w:rsid w:val="00B24124"/>
    <w:rsid w:val="00B37922"/>
    <w:rsid w:val="00B43C1C"/>
    <w:rsid w:val="00B6113D"/>
    <w:rsid w:val="00B867EA"/>
    <w:rsid w:val="00B92DBC"/>
    <w:rsid w:val="00BB1674"/>
    <w:rsid w:val="00BB3ED1"/>
    <w:rsid w:val="00BE1AFC"/>
    <w:rsid w:val="00BE70BE"/>
    <w:rsid w:val="00BF0848"/>
    <w:rsid w:val="00C1194C"/>
    <w:rsid w:val="00C200CC"/>
    <w:rsid w:val="00C26CED"/>
    <w:rsid w:val="00C4170E"/>
    <w:rsid w:val="00C9374B"/>
    <w:rsid w:val="00C97518"/>
    <w:rsid w:val="00CA6513"/>
    <w:rsid w:val="00CB711B"/>
    <w:rsid w:val="00CD0DEE"/>
    <w:rsid w:val="00CF21B2"/>
    <w:rsid w:val="00D203D7"/>
    <w:rsid w:val="00D412C6"/>
    <w:rsid w:val="00D44B72"/>
    <w:rsid w:val="00D475F1"/>
    <w:rsid w:val="00D5693B"/>
    <w:rsid w:val="00DA357B"/>
    <w:rsid w:val="00DC0C7B"/>
    <w:rsid w:val="00DC26CB"/>
    <w:rsid w:val="00DD769E"/>
    <w:rsid w:val="00DE2A0C"/>
    <w:rsid w:val="00DE63D2"/>
    <w:rsid w:val="00E027F5"/>
    <w:rsid w:val="00E035F5"/>
    <w:rsid w:val="00E31233"/>
    <w:rsid w:val="00E36DF8"/>
    <w:rsid w:val="00E630F6"/>
    <w:rsid w:val="00EE5DAB"/>
    <w:rsid w:val="00F21B10"/>
    <w:rsid w:val="00F470B4"/>
    <w:rsid w:val="00F57546"/>
    <w:rsid w:val="00FB070C"/>
    <w:rsid w:val="00FC4DCA"/>
    <w:rsid w:val="00FC6A33"/>
    <w:rsid w:val="00FD436C"/>
    <w:rsid w:val="00FE002E"/>
    <w:rsid w:val="00FF4C21"/>
    <w:rsid w:val="00FF7A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7BF2CD"/>
  <w15:docId w15:val="{B4BAD71E-AED9-4B0C-ADB9-0CADFAA5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0414"/>
    <w:rPr>
      <w:rFonts w:ascii="Arial" w:eastAsia="Times New Roman" w:hAnsi="Arial" w:cs="Arial"/>
      <w:szCs w:val="22"/>
    </w:rPr>
  </w:style>
  <w:style w:type="paragraph" w:styleId="berschrift1">
    <w:name w:val="heading 1"/>
    <w:basedOn w:val="Standard"/>
    <w:next w:val="Standard"/>
    <w:link w:val="berschrift1Zchn"/>
    <w:qFormat/>
    <w:rsid w:val="00110414"/>
    <w:pPr>
      <w:keepNext/>
      <w:spacing w:before="120" w:after="120"/>
      <w:jc w:val="center"/>
      <w:outlineLvl w:val="0"/>
    </w:pPr>
    <w:rPr>
      <w:rFonts w:cs="Times New Roman"/>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10414"/>
    <w:rPr>
      <w:rFonts w:ascii="Arial" w:eastAsia="Times New Roman" w:hAnsi="Arial" w:cs="Times New Roman"/>
      <w:bCs/>
      <w:kern w:val="32"/>
      <w:sz w:val="32"/>
      <w:szCs w:val="32"/>
    </w:rPr>
  </w:style>
  <w:style w:type="paragraph" w:customStyle="1" w:styleId="Listenabsatz1">
    <w:name w:val="Listenabsatz1"/>
    <w:basedOn w:val="Standard"/>
    <w:rsid w:val="00110414"/>
    <w:pPr>
      <w:ind w:left="720"/>
      <w:contextualSpacing/>
    </w:pPr>
  </w:style>
  <w:style w:type="character" w:styleId="Hyperlink">
    <w:name w:val="Hyperlink"/>
    <w:uiPriority w:val="99"/>
    <w:rsid w:val="00110414"/>
    <w:rPr>
      <w:rFonts w:cs="Times New Roman"/>
      <w:color w:val="0000FF"/>
      <w:u w:val="single"/>
    </w:rPr>
  </w:style>
  <w:style w:type="paragraph" w:customStyle="1" w:styleId="Listenabsatz2">
    <w:name w:val="Listenabsatz2"/>
    <w:basedOn w:val="Standard"/>
    <w:rsid w:val="00786ED6"/>
    <w:pPr>
      <w:ind w:left="720"/>
      <w:contextualSpacing/>
    </w:pPr>
  </w:style>
  <w:style w:type="paragraph" w:styleId="Kopfzeile">
    <w:name w:val="header"/>
    <w:basedOn w:val="Standard"/>
    <w:link w:val="KopfzeileZchn"/>
    <w:uiPriority w:val="99"/>
    <w:unhideWhenUsed/>
    <w:rsid w:val="009D642F"/>
    <w:pPr>
      <w:tabs>
        <w:tab w:val="center" w:pos="4536"/>
        <w:tab w:val="right" w:pos="9072"/>
      </w:tabs>
    </w:pPr>
  </w:style>
  <w:style w:type="character" w:customStyle="1" w:styleId="KopfzeileZchn">
    <w:name w:val="Kopfzeile Zchn"/>
    <w:basedOn w:val="Absatz-Standardschriftart"/>
    <w:link w:val="Kopfzeile"/>
    <w:uiPriority w:val="99"/>
    <w:rsid w:val="009D642F"/>
    <w:rPr>
      <w:rFonts w:ascii="Arial" w:eastAsia="Times New Roman" w:hAnsi="Arial" w:cs="Arial"/>
      <w:szCs w:val="22"/>
    </w:rPr>
  </w:style>
  <w:style w:type="paragraph" w:styleId="Fuzeile">
    <w:name w:val="footer"/>
    <w:basedOn w:val="Standard"/>
    <w:link w:val="FuzeileZchn"/>
    <w:uiPriority w:val="99"/>
    <w:unhideWhenUsed/>
    <w:rsid w:val="009D642F"/>
    <w:pPr>
      <w:tabs>
        <w:tab w:val="center" w:pos="4536"/>
        <w:tab w:val="right" w:pos="9072"/>
      </w:tabs>
    </w:pPr>
  </w:style>
  <w:style w:type="character" w:customStyle="1" w:styleId="FuzeileZchn">
    <w:name w:val="Fußzeile Zchn"/>
    <w:basedOn w:val="Absatz-Standardschriftart"/>
    <w:link w:val="Fuzeile"/>
    <w:uiPriority w:val="99"/>
    <w:rsid w:val="009D642F"/>
    <w:rPr>
      <w:rFonts w:ascii="Arial" w:eastAsia="Times New Roman" w:hAnsi="Arial" w:cs="Arial"/>
      <w:szCs w:val="22"/>
    </w:rPr>
  </w:style>
  <w:style w:type="paragraph" w:styleId="Listenabsatz">
    <w:name w:val="List Paragraph"/>
    <w:basedOn w:val="Standard"/>
    <w:uiPriority w:val="34"/>
    <w:qFormat/>
    <w:rsid w:val="00724E53"/>
    <w:pPr>
      <w:ind w:left="720"/>
      <w:contextualSpacing/>
    </w:pPr>
  </w:style>
  <w:style w:type="table" w:styleId="Tabellenraster">
    <w:name w:val="Table Grid"/>
    <w:basedOn w:val="NormaleTabelle"/>
    <w:uiPriority w:val="59"/>
    <w:rsid w:val="005D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902BDE"/>
  </w:style>
  <w:style w:type="character" w:styleId="NichtaufgelsteErwhnung">
    <w:name w:val="Unresolved Mention"/>
    <w:basedOn w:val="Absatz-Standardschriftart"/>
    <w:uiPriority w:val="99"/>
    <w:semiHidden/>
    <w:unhideWhenUsed/>
    <w:rsid w:val="00FF4C21"/>
    <w:rPr>
      <w:color w:val="605E5C"/>
      <w:shd w:val="clear" w:color="auto" w:fill="E1DFDD"/>
    </w:rPr>
  </w:style>
  <w:style w:type="character" w:styleId="BesuchterLink">
    <w:name w:val="FollowedHyperlink"/>
    <w:basedOn w:val="Absatz-Standardschriftart"/>
    <w:uiPriority w:val="99"/>
    <w:semiHidden/>
    <w:unhideWhenUsed/>
    <w:rsid w:val="00FF4C21"/>
    <w:rPr>
      <w:color w:val="954F72" w:themeColor="followedHyperlink"/>
      <w:u w:val="single"/>
    </w:rPr>
  </w:style>
  <w:style w:type="paragraph" w:styleId="StandardWeb">
    <w:name w:val="Normal (Web)"/>
    <w:basedOn w:val="Standard"/>
    <w:uiPriority w:val="99"/>
    <w:semiHidden/>
    <w:unhideWhenUsed/>
    <w:rsid w:val="00C26CED"/>
    <w:pPr>
      <w:spacing w:before="100" w:beforeAutospacing="1" w:after="100" w:afterAutospacing="1"/>
    </w:pPr>
    <w:rPr>
      <w:rFonts w:ascii="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212">
      <w:bodyDiv w:val="1"/>
      <w:marLeft w:val="0"/>
      <w:marRight w:val="0"/>
      <w:marTop w:val="0"/>
      <w:marBottom w:val="0"/>
      <w:divBdr>
        <w:top w:val="none" w:sz="0" w:space="0" w:color="auto"/>
        <w:left w:val="none" w:sz="0" w:space="0" w:color="auto"/>
        <w:bottom w:val="none" w:sz="0" w:space="0" w:color="auto"/>
        <w:right w:val="none" w:sz="0" w:space="0" w:color="auto"/>
      </w:divBdr>
    </w:div>
    <w:div w:id="518279712">
      <w:bodyDiv w:val="1"/>
      <w:marLeft w:val="0"/>
      <w:marRight w:val="0"/>
      <w:marTop w:val="0"/>
      <w:marBottom w:val="0"/>
      <w:divBdr>
        <w:top w:val="none" w:sz="0" w:space="0" w:color="auto"/>
        <w:left w:val="none" w:sz="0" w:space="0" w:color="auto"/>
        <w:bottom w:val="none" w:sz="0" w:space="0" w:color="auto"/>
        <w:right w:val="none" w:sz="0" w:space="0" w:color="auto"/>
      </w:divBdr>
      <w:divsChild>
        <w:div w:id="40055485">
          <w:marLeft w:val="0"/>
          <w:marRight w:val="0"/>
          <w:marTop w:val="0"/>
          <w:marBottom w:val="0"/>
          <w:divBdr>
            <w:top w:val="none" w:sz="0" w:space="0" w:color="auto"/>
            <w:left w:val="none" w:sz="0" w:space="0" w:color="auto"/>
            <w:bottom w:val="none" w:sz="0" w:space="0" w:color="auto"/>
            <w:right w:val="none" w:sz="0" w:space="0" w:color="auto"/>
          </w:divBdr>
          <w:divsChild>
            <w:div w:id="1404451160">
              <w:marLeft w:val="0"/>
              <w:marRight w:val="0"/>
              <w:marTop w:val="0"/>
              <w:marBottom w:val="0"/>
              <w:divBdr>
                <w:top w:val="none" w:sz="0" w:space="0" w:color="auto"/>
                <w:left w:val="none" w:sz="0" w:space="0" w:color="auto"/>
                <w:bottom w:val="none" w:sz="0" w:space="0" w:color="auto"/>
                <w:right w:val="none" w:sz="0" w:space="0" w:color="auto"/>
              </w:divBdr>
              <w:divsChild>
                <w:div w:id="993417508">
                  <w:marLeft w:val="0"/>
                  <w:marRight w:val="0"/>
                  <w:marTop w:val="0"/>
                  <w:marBottom w:val="0"/>
                  <w:divBdr>
                    <w:top w:val="none" w:sz="0" w:space="0" w:color="auto"/>
                    <w:left w:val="none" w:sz="0" w:space="0" w:color="auto"/>
                    <w:bottom w:val="none" w:sz="0" w:space="0" w:color="auto"/>
                    <w:right w:val="none" w:sz="0" w:space="0" w:color="auto"/>
                  </w:divBdr>
                  <w:divsChild>
                    <w:div w:id="10057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387">
      <w:bodyDiv w:val="1"/>
      <w:marLeft w:val="0"/>
      <w:marRight w:val="0"/>
      <w:marTop w:val="0"/>
      <w:marBottom w:val="0"/>
      <w:divBdr>
        <w:top w:val="none" w:sz="0" w:space="0" w:color="auto"/>
        <w:left w:val="none" w:sz="0" w:space="0" w:color="auto"/>
        <w:bottom w:val="none" w:sz="0" w:space="0" w:color="auto"/>
        <w:right w:val="none" w:sz="0" w:space="0" w:color="auto"/>
      </w:divBdr>
      <w:divsChild>
        <w:div w:id="662509568">
          <w:marLeft w:val="0"/>
          <w:marRight w:val="0"/>
          <w:marTop w:val="0"/>
          <w:marBottom w:val="0"/>
          <w:divBdr>
            <w:top w:val="none" w:sz="0" w:space="0" w:color="auto"/>
            <w:left w:val="none" w:sz="0" w:space="0" w:color="auto"/>
            <w:bottom w:val="none" w:sz="0" w:space="0" w:color="auto"/>
            <w:right w:val="none" w:sz="0" w:space="0" w:color="auto"/>
          </w:divBdr>
          <w:divsChild>
            <w:div w:id="1002129074">
              <w:marLeft w:val="0"/>
              <w:marRight w:val="0"/>
              <w:marTop w:val="0"/>
              <w:marBottom w:val="0"/>
              <w:divBdr>
                <w:top w:val="none" w:sz="0" w:space="0" w:color="auto"/>
                <w:left w:val="none" w:sz="0" w:space="0" w:color="auto"/>
                <w:bottom w:val="none" w:sz="0" w:space="0" w:color="auto"/>
                <w:right w:val="none" w:sz="0" w:space="0" w:color="auto"/>
              </w:divBdr>
              <w:divsChild>
                <w:div w:id="5144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7806">
      <w:bodyDiv w:val="1"/>
      <w:marLeft w:val="0"/>
      <w:marRight w:val="0"/>
      <w:marTop w:val="0"/>
      <w:marBottom w:val="0"/>
      <w:divBdr>
        <w:top w:val="none" w:sz="0" w:space="0" w:color="auto"/>
        <w:left w:val="none" w:sz="0" w:space="0" w:color="auto"/>
        <w:bottom w:val="none" w:sz="0" w:space="0" w:color="auto"/>
        <w:right w:val="none" w:sz="0" w:space="0" w:color="auto"/>
      </w:divBdr>
      <w:divsChild>
        <w:div w:id="1110516104">
          <w:marLeft w:val="0"/>
          <w:marRight w:val="0"/>
          <w:marTop w:val="0"/>
          <w:marBottom w:val="0"/>
          <w:divBdr>
            <w:top w:val="none" w:sz="0" w:space="0" w:color="auto"/>
            <w:left w:val="none" w:sz="0" w:space="0" w:color="auto"/>
            <w:bottom w:val="none" w:sz="0" w:space="0" w:color="auto"/>
            <w:right w:val="none" w:sz="0" w:space="0" w:color="auto"/>
          </w:divBdr>
          <w:divsChild>
            <w:div w:id="251740086">
              <w:marLeft w:val="0"/>
              <w:marRight w:val="0"/>
              <w:marTop w:val="0"/>
              <w:marBottom w:val="0"/>
              <w:divBdr>
                <w:top w:val="none" w:sz="0" w:space="0" w:color="auto"/>
                <w:left w:val="none" w:sz="0" w:space="0" w:color="auto"/>
                <w:bottom w:val="none" w:sz="0" w:space="0" w:color="auto"/>
                <w:right w:val="none" w:sz="0" w:space="0" w:color="auto"/>
              </w:divBdr>
              <w:divsChild>
                <w:div w:id="1566184119">
                  <w:marLeft w:val="0"/>
                  <w:marRight w:val="0"/>
                  <w:marTop w:val="0"/>
                  <w:marBottom w:val="0"/>
                  <w:divBdr>
                    <w:top w:val="none" w:sz="0" w:space="0" w:color="auto"/>
                    <w:left w:val="none" w:sz="0" w:space="0" w:color="auto"/>
                    <w:bottom w:val="none" w:sz="0" w:space="0" w:color="auto"/>
                    <w:right w:val="none" w:sz="0" w:space="0" w:color="auto"/>
                  </w:divBdr>
                  <w:divsChild>
                    <w:div w:id="15618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9000">
      <w:bodyDiv w:val="1"/>
      <w:marLeft w:val="0"/>
      <w:marRight w:val="0"/>
      <w:marTop w:val="0"/>
      <w:marBottom w:val="0"/>
      <w:divBdr>
        <w:top w:val="none" w:sz="0" w:space="0" w:color="auto"/>
        <w:left w:val="none" w:sz="0" w:space="0" w:color="auto"/>
        <w:bottom w:val="none" w:sz="0" w:space="0" w:color="auto"/>
        <w:right w:val="none" w:sz="0" w:space="0" w:color="auto"/>
      </w:divBdr>
      <w:divsChild>
        <w:div w:id="948513624">
          <w:marLeft w:val="0"/>
          <w:marRight w:val="0"/>
          <w:marTop w:val="0"/>
          <w:marBottom w:val="0"/>
          <w:divBdr>
            <w:top w:val="none" w:sz="0" w:space="0" w:color="auto"/>
            <w:left w:val="none" w:sz="0" w:space="0" w:color="auto"/>
            <w:bottom w:val="none" w:sz="0" w:space="0" w:color="auto"/>
            <w:right w:val="none" w:sz="0" w:space="0" w:color="auto"/>
          </w:divBdr>
          <w:divsChild>
            <w:div w:id="1483497260">
              <w:marLeft w:val="0"/>
              <w:marRight w:val="0"/>
              <w:marTop w:val="0"/>
              <w:marBottom w:val="0"/>
              <w:divBdr>
                <w:top w:val="none" w:sz="0" w:space="0" w:color="auto"/>
                <w:left w:val="none" w:sz="0" w:space="0" w:color="auto"/>
                <w:bottom w:val="none" w:sz="0" w:space="0" w:color="auto"/>
                <w:right w:val="none" w:sz="0" w:space="0" w:color="auto"/>
              </w:divBdr>
              <w:divsChild>
                <w:div w:id="1779905809">
                  <w:marLeft w:val="0"/>
                  <w:marRight w:val="0"/>
                  <w:marTop w:val="0"/>
                  <w:marBottom w:val="0"/>
                  <w:divBdr>
                    <w:top w:val="none" w:sz="0" w:space="0" w:color="auto"/>
                    <w:left w:val="none" w:sz="0" w:space="0" w:color="auto"/>
                    <w:bottom w:val="none" w:sz="0" w:space="0" w:color="auto"/>
                    <w:right w:val="none" w:sz="0" w:space="0" w:color="auto"/>
                  </w:divBdr>
                  <w:divsChild>
                    <w:div w:id="930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69088">
      <w:bodyDiv w:val="1"/>
      <w:marLeft w:val="0"/>
      <w:marRight w:val="0"/>
      <w:marTop w:val="0"/>
      <w:marBottom w:val="0"/>
      <w:divBdr>
        <w:top w:val="none" w:sz="0" w:space="0" w:color="auto"/>
        <w:left w:val="none" w:sz="0" w:space="0" w:color="auto"/>
        <w:bottom w:val="none" w:sz="0" w:space="0" w:color="auto"/>
        <w:right w:val="none" w:sz="0" w:space="0" w:color="auto"/>
      </w:divBdr>
      <w:divsChild>
        <w:div w:id="253436096">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quickfac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pload.wikimedia.org/wikipedia/commons/a/ae/Map_silicon_valley_cities.png"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stplaces.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raphics.wsj.com/table/CioSoft_0615" TargetMode="External"/><Relationship Id="rId4" Type="http://schemas.openxmlformats.org/officeDocument/2006/relationships/webSettings" Target="webSettings.xml"/><Relationship Id="rId9" Type="http://schemas.openxmlformats.org/officeDocument/2006/relationships/hyperlink" Target="https://ncses.nsf.gov/pubs/nsf2130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4695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Scholliers</dc:creator>
  <cp:keywords/>
  <dc:description/>
  <cp:lastModifiedBy>Mirjam Schäfer</cp:lastModifiedBy>
  <cp:revision>4</cp:revision>
  <cp:lastPrinted>2020-12-29T16:03:00Z</cp:lastPrinted>
  <dcterms:created xsi:type="dcterms:W3CDTF">2021-02-15T08:05:00Z</dcterms:created>
  <dcterms:modified xsi:type="dcterms:W3CDTF">2021-02-15T08:08:00Z</dcterms:modified>
</cp:coreProperties>
</file>