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A5" w:rsidRDefault="009011DA" w:rsidP="002E6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11DA">
        <w:rPr>
          <w:rFonts w:ascii="Arial" w:hAnsi="Arial" w:cs="Arial"/>
          <w:sz w:val="24"/>
          <w:szCs w:val="24"/>
        </w:rPr>
        <w:t>Wie werden die Osmanen von den Europäern gesehen?</w:t>
      </w:r>
    </w:p>
    <w:p w:rsidR="00DE1950" w:rsidRDefault="00DE1950" w:rsidP="002E6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950" w:rsidRPr="009011DA" w:rsidRDefault="00DE1950" w:rsidP="00DE19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 A</w:t>
      </w:r>
      <w:r w:rsidRPr="009011DA">
        <w:rPr>
          <w:rFonts w:ascii="Arial" w:hAnsi="Arial" w:cs="Arial"/>
          <w:sz w:val="24"/>
          <w:szCs w:val="24"/>
        </w:rPr>
        <w:t>: Erarbeite aus M1</w:t>
      </w:r>
      <w:r>
        <w:rPr>
          <w:rFonts w:ascii="Arial" w:hAnsi="Arial" w:cs="Arial"/>
          <w:sz w:val="24"/>
          <w:szCs w:val="24"/>
        </w:rPr>
        <w:t xml:space="preserve"> und M3</w:t>
      </w:r>
      <w:r w:rsidRPr="009011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warum die osmanische Expansion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folgreich ist</w:t>
      </w:r>
      <w:r w:rsidRPr="009011DA">
        <w:rPr>
          <w:rFonts w:ascii="Arial" w:hAnsi="Arial" w:cs="Arial"/>
          <w:sz w:val="24"/>
          <w:szCs w:val="24"/>
        </w:rPr>
        <w:t>.</w:t>
      </w:r>
    </w:p>
    <w:p w:rsidR="00DE1950" w:rsidRDefault="00DE1950" w:rsidP="00DE19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011DA">
        <w:rPr>
          <w:rFonts w:ascii="Arial" w:hAnsi="Arial" w:cs="Arial"/>
          <w:sz w:val="24"/>
          <w:szCs w:val="24"/>
        </w:rPr>
        <w:t xml:space="preserve">Gruppe </w:t>
      </w:r>
      <w:r>
        <w:rPr>
          <w:rFonts w:ascii="Arial" w:hAnsi="Arial" w:cs="Arial"/>
          <w:sz w:val="24"/>
          <w:szCs w:val="24"/>
        </w:rPr>
        <w:t>B teilt euch nochmals auf (entweder Arbeit mit Texten (B), oder mit Bildern (</w:t>
      </w:r>
      <w:r w:rsidR="000E10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:</w:t>
      </w:r>
    </w:p>
    <w:p w:rsidR="00DE1950" w:rsidRDefault="00DE1950" w:rsidP="00DE19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 B: Erarbeite aus M4 und M5-6, wie die Osmanen aus europäischer Sicht dargestellt werden. Überprüfe diese Darstellung mit M8.</w:t>
      </w:r>
    </w:p>
    <w:p w:rsidR="00DE1950" w:rsidRDefault="00DE1950" w:rsidP="00DE19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Gruppe </w:t>
      </w:r>
      <w:r w:rsidR="000E10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: Erarbeite aus M6 bis M8, wie die Osmanen aus europäischer Sicht dargestellt werden und ob diese Darstellung sichthaltig ist.</w:t>
      </w:r>
    </w:p>
    <w:p w:rsidR="00DE1950" w:rsidRDefault="00DE1950" w:rsidP="00DE19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dann aus, wie werden die Osmanen dargestellt, stimmt diese Darstellung. Formuliert eine These (Überlegung), warum die Europäer die Osmanen so darstellen.</w:t>
      </w:r>
    </w:p>
    <w:p w:rsidR="00DE1950" w:rsidRDefault="00DE1950" w:rsidP="002E695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  <w:sectPr w:rsidR="00DE1950" w:rsidSect="00DE19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011DA" w:rsidRDefault="009011DA" w:rsidP="002E695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90AA5" w:rsidRDefault="00B90AA5" w:rsidP="002E695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C041F7">
        <w:rPr>
          <w:rFonts w:ascii="Arial" w:hAnsi="Arial" w:cs="Arial"/>
          <w:i/>
          <w:sz w:val="24"/>
          <w:szCs w:val="24"/>
          <w:u w:val="single"/>
        </w:rPr>
        <w:t>M1 Robert B. Marks, die Ursprünge der modernen Welt</w:t>
      </w:r>
    </w:p>
    <w:p w:rsidR="00492ED2" w:rsidRDefault="00492ED2" w:rsidP="002E6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aus urheberrechtlichen Gründen gelöscht, zu finden unter:</w:t>
      </w:r>
    </w:p>
    <w:p w:rsidR="00B90AA5" w:rsidRPr="00492ED2" w:rsidRDefault="00492ED2" w:rsidP="00563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41F7">
        <w:rPr>
          <w:rFonts w:ascii="Arial" w:hAnsi="Arial" w:cs="Arial"/>
          <w:sz w:val="16"/>
          <w:szCs w:val="16"/>
        </w:rPr>
        <w:t xml:space="preserve"> </w:t>
      </w:r>
      <w:r w:rsidR="00B90AA5" w:rsidRPr="00492ED2">
        <w:rPr>
          <w:rFonts w:ascii="Arial" w:hAnsi="Arial" w:cs="Arial"/>
          <w:sz w:val="24"/>
          <w:szCs w:val="24"/>
        </w:rPr>
        <w:t>Robert B. Marks, die Ursprünge der modernen Welt. Eine globale Weltgeschichte. Darmstadt 2006, S.67f.</w:t>
      </w:r>
    </w:p>
    <w:p w:rsidR="00C041F7" w:rsidRPr="00C041F7" w:rsidRDefault="00C041F7" w:rsidP="00563097">
      <w:pPr>
        <w:spacing w:after="0" w:line="240" w:lineRule="auto"/>
        <w:rPr>
          <w:rFonts w:ascii="Arial" w:hAnsi="Arial" w:cs="Arial"/>
          <w:sz w:val="24"/>
          <w:szCs w:val="24"/>
        </w:rPr>
        <w:sectPr w:rsidR="00C041F7" w:rsidRPr="00C041F7" w:rsidSect="00DE1950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DE1950" w:rsidRDefault="00DE1950" w:rsidP="00563097">
      <w:pPr>
        <w:spacing w:after="0" w:line="240" w:lineRule="auto"/>
        <w:rPr>
          <w:rFonts w:ascii="Comic Sans MS" w:hAnsi="Comic Sans MS"/>
          <w:sz w:val="24"/>
          <w:szCs w:val="24"/>
        </w:rPr>
        <w:sectPr w:rsidR="00DE1950" w:rsidSect="00DE1950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9713A5" w:rsidRPr="000F11AD" w:rsidRDefault="000E106E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0F11AD">
        <w:rPr>
          <w:rFonts w:ascii="Arial" w:hAnsi="Arial" w:cs="Arial"/>
          <w:i/>
          <w:noProof/>
          <w:color w:val="000000" w:themeColor="text1"/>
          <w:u w:val="single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140B615D" wp14:editId="13A2E1C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78330" cy="2861945"/>
            <wp:effectExtent l="0" t="0" r="7620" b="0"/>
            <wp:wrapTight wrapText="bothSides">
              <wp:wrapPolygon edited="0">
                <wp:start x="0" y="0"/>
                <wp:lineTo x="0" y="21423"/>
                <wp:lineTo x="21469" y="21423"/>
                <wp:lineTo x="21469" y="0"/>
                <wp:lineTo x="0" y="0"/>
              </wp:wrapPolygon>
            </wp:wrapTight>
            <wp:docPr id="1" name="Bild 1" descr="https://upload.wikimedia.org/wikipedia/commons/thumb/d/d5/Siege_of_Constantinople_BnF_MS_Fr_9087.jpg/170px-Siege_of_Constantinople_BnF_MS_Fr_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Siege_of_Constantinople_BnF_MS_Fr_9087.jpg/170px-Siege_of_Constantinople_BnF_MS_Fr_90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A5" w:rsidRPr="000F11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M2</w:t>
      </w:r>
      <w:r w:rsidR="00B90AA5" w:rsidRPr="000F11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: </w:t>
      </w:r>
      <w:r w:rsidR="000F11AD" w:rsidRPr="000F11AD">
        <w:rPr>
          <w:rFonts w:ascii="Arial" w:hAnsi="Arial" w:cs="Arial"/>
          <w:i/>
          <w:sz w:val="24"/>
          <w:szCs w:val="24"/>
          <w:u w:val="single"/>
        </w:rPr>
        <w:t>Die Belagerung Konstantinopels durch die Türken</w:t>
      </w:r>
      <w:r w:rsidR="000F11AD" w:rsidRPr="000F11AD">
        <w:rPr>
          <w:rStyle w:val="Funotenzeichen"/>
          <w:rFonts w:ascii="Arial" w:hAnsi="Arial" w:cs="Arial"/>
          <w:i/>
          <w:color w:val="000000" w:themeColor="text1"/>
          <w:sz w:val="24"/>
          <w:szCs w:val="24"/>
        </w:rPr>
        <w:footnoteReference w:id="1"/>
      </w:r>
    </w:p>
    <w:p w:rsidR="009713A5" w:rsidRDefault="009713A5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E1950" w:rsidRDefault="00DE1950" w:rsidP="00DE1950">
      <w:pPr>
        <w:rPr>
          <w:rFonts w:ascii="Arial" w:hAnsi="Arial" w:cs="Arial"/>
          <w:sz w:val="24"/>
          <w:szCs w:val="24"/>
        </w:rPr>
        <w:sectPr w:rsidR="00DE1950" w:rsidSect="001D5523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1D5523" w:rsidRPr="00DE1950" w:rsidRDefault="001D5523" w:rsidP="00DE1950">
      <w:pPr>
        <w:rPr>
          <w:rFonts w:ascii="Arial" w:hAnsi="Arial" w:cs="Arial"/>
          <w:sz w:val="24"/>
          <w:szCs w:val="24"/>
        </w:rPr>
        <w:sectPr w:rsidR="001D5523" w:rsidRPr="00DE1950" w:rsidSect="001D5523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1D5523" w:rsidRDefault="001D5523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1D5523" w:rsidRPr="002547D6" w:rsidRDefault="001D5523" w:rsidP="001D5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  <w:lang w:eastAsia="de-DE"/>
        </w:rPr>
      </w:pPr>
      <w:r w:rsidRPr="002547D6">
        <w:rPr>
          <w:rFonts w:ascii="Arial" w:hAnsi="Arial" w:cs="Arial"/>
          <w:i/>
          <w:sz w:val="24"/>
          <w:szCs w:val="24"/>
          <w:u w:val="single"/>
        </w:rPr>
        <w:t>M3</w:t>
      </w:r>
      <w:r w:rsidRPr="002547D6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Pr="002547D6">
        <w:rPr>
          <w:rFonts w:ascii="Arial" w:hAnsi="Arial" w:cs="Arial"/>
          <w:bCs/>
          <w:i/>
          <w:sz w:val="24"/>
          <w:szCs w:val="24"/>
          <w:u w:val="single"/>
          <w:lang w:eastAsia="de-DE"/>
        </w:rPr>
        <w:t>Über die Ursachen der Kampfkraft der osmanischen Heere berichtet Georg von Ungarn</w:t>
      </w:r>
    </w:p>
    <w:p w:rsidR="001D5523" w:rsidRPr="009713A5" w:rsidRDefault="001D5523" w:rsidP="001D5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9713A5">
        <w:rPr>
          <w:rFonts w:ascii="Arial" w:hAnsi="Arial" w:cs="Arial"/>
          <w:sz w:val="24"/>
          <w:szCs w:val="24"/>
          <w:lang w:eastAsia="de-DE"/>
        </w:rPr>
        <w:t>„Wenn die Aushebung der Armee beginnt, versammeln sich die Männer mit solcher Bereitschaft und Geschwindigkeit, dass man meinen würde, die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Einladung gilt nicht für den Krieg, sondern für eine Hochzeit. Ja, sie können sogar die Zeit der Einr</w:t>
      </w:r>
      <w:r w:rsidRPr="009713A5">
        <w:rPr>
          <w:rFonts w:ascii="Arial" w:hAnsi="Arial" w:cs="Arial"/>
          <w:sz w:val="24"/>
          <w:szCs w:val="24"/>
          <w:lang w:eastAsia="de-DE"/>
        </w:rPr>
        <w:t>ü</w:t>
      </w:r>
      <w:r w:rsidRPr="009713A5">
        <w:rPr>
          <w:rFonts w:ascii="Arial" w:hAnsi="Arial" w:cs="Arial"/>
          <w:sz w:val="24"/>
          <w:szCs w:val="24"/>
          <w:lang w:eastAsia="de-DE"/>
        </w:rPr>
        <w:t>ckung kaum abwarten und finden sich von selbst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am Sammelplatz ein. Wenn es ab und zu vorkommt, dass sie gerade keinen Krieg haben, so überkommt sie eine große Langeweile. Und nicht nur jene,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die zusammengeschrieben worden sind, beeilen sich einzurücken, sondern noch viele mehr streben freiwillig zum angegebenen Ort. Der Türke bemüht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sich daher nicht sonderlich um die Anwerbung seiner Armee, sondern schickt einfach seine Boten zu den Vorstehern und setzt den Tag und den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Zeitpunkt fest</w:t>
      </w:r>
      <w:r w:rsidR="006F1A85">
        <w:rPr>
          <w:rFonts w:ascii="Arial" w:hAnsi="Arial" w:cs="Arial"/>
          <w:sz w:val="24"/>
          <w:szCs w:val="24"/>
          <w:lang w:eastAsia="de-DE"/>
        </w:rPr>
        <w:t>. D</w:t>
      </w:r>
      <w:r w:rsidRPr="009713A5">
        <w:rPr>
          <w:rFonts w:ascii="Arial" w:hAnsi="Arial" w:cs="Arial"/>
          <w:sz w:val="24"/>
          <w:szCs w:val="24"/>
          <w:lang w:eastAsia="de-DE"/>
        </w:rPr>
        <w:t>ie Kuriere tragen unverzüglich die Botschaft in die Städte und Marktflecken, und im Verlauf eines einzigen Monates treten die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Soldaten in der Ordnung zusa</w:t>
      </w:r>
      <w:r w:rsidRPr="009713A5">
        <w:rPr>
          <w:rFonts w:ascii="Arial" w:hAnsi="Arial" w:cs="Arial"/>
          <w:sz w:val="24"/>
          <w:szCs w:val="24"/>
          <w:lang w:eastAsia="de-DE"/>
        </w:rPr>
        <w:t>m</w:t>
      </w:r>
      <w:r w:rsidRPr="009713A5">
        <w:rPr>
          <w:rFonts w:ascii="Arial" w:hAnsi="Arial" w:cs="Arial"/>
          <w:sz w:val="24"/>
          <w:szCs w:val="24"/>
          <w:lang w:eastAsia="de-DE"/>
        </w:rPr>
        <w:t>men, in der sie registriert wurden, und zwar das Fußvolk getrennt von den Rei</w:t>
      </w:r>
      <w:r w:rsidR="006F1A85">
        <w:rPr>
          <w:rFonts w:ascii="Arial" w:hAnsi="Arial" w:cs="Arial"/>
          <w:sz w:val="24"/>
          <w:szCs w:val="24"/>
          <w:lang w:eastAsia="de-DE"/>
        </w:rPr>
        <w:t>t</w:t>
      </w:r>
      <w:r w:rsidRPr="009713A5">
        <w:rPr>
          <w:rFonts w:ascii="Arial" w:hAnsi="Arial" w:cs="Arial"/>
          <w:sz w:val="24"/>
          <w:szCs w:val="24"/>
          <w:lang w:eastAsia="de-DE"/>
        </w:rPr>
        <w:t>er</w:t>
      </w:r>
      <w:r w:rsidR="006F1A85">
        <w:rPr>
          <w:rFonts w:ascii="Arial" w:hAnsi="Arial" w:cs="Arial"/>
          <w:sz w:val="24"/>
          <w:szCs w:val="24"/>
          <w:lang w:eastAsia="de-DE"/>
        </w:rPr>
        <w:t>n</w:t>
      </w:r>
      <w:r w:rsidRPr="009713A5">
        <w:rPr>
          <w:rFonts w:ascii="Arial" w:hAnsi="Arial" w:cs="Arial"/>
          <w:sz w:val="24"/>
          <w:szCs w:val="24"/>
          <w:lang w:eastAsia="de-DE"/>
        </w:rPr>
        <w:t>, alle unter den eigenen Vorgesetzten,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in derselben Ordnung, wie sie auch im Felde ihr Lager beziehen und sich zum Kampf vorbereiten... Sieht aber der Türke, dass der Krieg für ihn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schwieriger wird, schickt er so</w:t>
      </w:r>
      <w:r w:rsidR="006F1A85">
        <w:rPr>
          <w:rFonts w:ascii="Arial" w:hAnsi="Arial" w:cs="Arial"/>
          <w:sz w:val="24"/>
          <w:szCs w:val="24"/>
          <w:lang w:eastAsia="de-DE"/>
        </w:rPr>
        <w:t>f</w:t>
      </w:r>
      <w:r w:rsidRPr="009713A5">
        <w:rPr>
          <w:rFonts w:ascii="Arial" w:hAnsi="Arial" w:cs="Arial"/>
          <w:sz w:val="24"/>
          <w:szCs w:val="24"/>
          <w:lang w:eastAsia="de-DE"/>
        </w:rPr>
        <w:t>ort Boten ins ganze Land und läs</w:t>
      </w:r>
      <w:r w:rsidR="006F1A85">
        <w:rPr>
          <w:rFonts w:ascii="Arial" w:hAnsi="Arial" w:cs="Arial"/>
          <w:sz w:val="24"/>
          <w:szCs w:val="24"/>
          <w:lang w:eastAsia="de-DE"/>
        </w:rPr>
        <w:t>s</w:t>
      </w:r>
      <w:r w:rsidRPr="009713A5">
        <w:rPr>
          <w:rFonts w:ascii="Arial" w:hAnsi="Arial" w:cs="Arial"/>
          <w:sz w:val="24"/>
          <w:szCs w:val="24"/>
          <w:lang w:eastAsia="de-DE"/>
        </w:rPr>
        <w:t>t jeden vierten oder fünften Wehrpflichtigen auf Kosten der Daheimgebliebenen auf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Befehl einrücken. ... Auf diese Weise kann ein Heer von unendlicher Stärke einberufen we</w:t>
      </w:r>
      <w:r w:rsidRPr="009713A5">
        <w:rPr>
          <w:rFonts w:ascii="Arial" w:hAnsi="Arial" w:cs="Arial"/>
          <w:sz w:val="24"/>
          <w:szCs w:val="24"/>
          <w:lang w:eastAsia="de-DE"/>
        </w:rPr>
        <w:t>r</w:t>
      </w:r>
      <w:r w:rsidRPr="009713A5">
        <w:rPr>
          <w:rFonts w:ascii="Arial" w:hAnsi="Arial" w:cs="Arial"/>
          <w:sz w:val="24"/>
          <w:szCs w:val="24"/>
          <w:lang w:eastAsia="de-DE"/>
        </w:rPr>
        <w:t>den. Das ganze wird aber mit derartiger Begeisterung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 xml:space="preserve">durchgeführt, dass sich etwa der eine an Stelle eines anderen anbietet; wer aber daheim gelassen wird, meint, dass ihm Unrecht widerfahren </w:t>
      </w:r>
      <w:r w:rsidR="00031D36">
        <w:rPr>
          <w:rFonts w:ascii="Arial" w:hAnsi="Arial" w:cs="Arial"/>
          <w:sz w:val="24"/>
          <w:szCs w:val="24"/>
          <w:lang w:eastAsia="de-DE"/>
        </w:rPr>
        <w:t>i</w:t>
      </w:r>
      <w:r w:rsidRPr="009713A5">
        <w:rPr>
          <w:rFonts w:ascii="Arial" w:hAnsi="Arial" w:cs="Arial"/>
          <w:sz w:val="24"/>
          <w:szCs w:val="24"/>
          <w:lang w:eastAsia="de-DE"/>
        </w:rPr>
        <w:t>st.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Außerdem glauben sie, selig zu werden, wenn sie nicht daheim, inmitten e</w:t>
      </w:r>
      <w:r w:rsidR="00492ED2">
        <w:rPr>
          <w:rFonts w:ascii="Arial" w:hAnsi="Arial" w:cs="Arial"/>
          <w:sz w:val="24"/>
          <w:szCs w:val="24"/>
          <w:lang w:eastAsia="de-DE"/>
        </w:rPr>
        <w:t>i</w:t>
      </w:r>
      <w:r w:rsidR="0053193F">
        <w:rPr>
          <w:rFonts w:ascii="Arial" w:hAnsi="Arial" w:cs="Arial"/>
          <w:sz w:val="24"/>
          <w:szCs w:val="24"/>
          <w:lang w:eastAsia="de-DE"/>
        </w:rPr>
        <w:t>nes</w:t>
      </w:r>
      <w:r w:rsidRPr="009713A5">
        <w:rPr>
          <w:rFonts w:ascii="Arial" w:hAnsi="Arial" w:cs="Arial"/>
          <w:sz w:val="24"/>
          <w:szCs w:val="24"/>
          <w:lang w:eastAsia="de-DE"/>
        </w:rPr>
        <w:t xml:space="preserve"> Schleim- und Tränenflusses alter Weiber, sondern auf dem Schlachtfeld, von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den Speeren und Pfeilen des Feindes getroffen, sterben kö</w:t>
      </w:r>
      <w:r w:rsidRPr="009713A5">
        <w:rPr>
          <w:rFonts w:ascii="Arial" w:hAnsi="Arial" w:cs="Arial"/>
          <w:sz w:val="24"/>
          <w:szCs w:val="24"/>
          <w:lang w:eastAsia="de-DE"/>
        </w:rPr>
        <w:t>n</w:t>
      </w:r>
      <w:r w:rsidRPr="009713A5">
        <w:rPr>
          <w:rFonts w:ascii="Arial" w:hAnsi="Arial" w:cs="Arial"/>
          <w:sz w:val="24"/>
          <w:szCs w:val="24"/>
          <w:lang w:eastAsia="de-DE"/>
        </w:rPr>
        <w:t>nen. Jene, die so sterben, werden nicht nur nicht beweint, sondern vielmehr als He</w:t>
      </w:r>
      <w:r w:rsidRPr="009713A5">
        <w:rPr>
          <w:rFonts w:ascii="Arial" w:hAnsi="Arial" w:cs="Arial"/>
          <w:sz w:val="24"/>
          <w:szCs w:val="24"/>
          <w:lang w:eastAsia="de-DE"/>
        </w:rPr>
        <w:t>i</w:t>
      </w:r>
      <w:r w:rsidRPr="009713A5">
        <w:rPr>
          <w:rFonts w:ascii="Arial" w:hAnsi="Arial" w:cs="Arial"/>
          <w:sz w:val="24"/>
          <w:szCs w:val="24"/>
          <w:lang w:eastAsia="de-DE"/>
        </w:rPr>
        <w:t>lige und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713A5">
        <w:rPr>
          <w:rFonts w:ascii="Arial" w:hAnsi="Arial" w:cs="Arial"/>
          <w:sz w:val="24"/>
          <w:szCs w:val="24"/>
          <w:lang w:eastAsia="de-DE"/>
        </w:rPr>
        <w:t>Sieger gepriesen und den Überlebenden als Vorbilder dahingestellt.“</w:t>
      </w:r>
    </w:p>
    <w:p w:rsidR="001D5523" w:rsidRPr="009713A5" w:rsidRDefault="00492ED2" w:rsidP="001D552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eastAsia="de-DE"/>
        </w:rPr>
        <w:t>(</w:t>
      </w:r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 xml:space="preserve">Georgius de </w:t>
      </w:r>
      <w:proofErr w:type="spellStart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>Hungaria</w:t>
      </w:r>
      <w:proofErr w:type="spellEnd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 xml:space="preserve">/Georg von Ungarn, siebenbürgischer Geschichtsschreiber, 15. Jh., De </w:t>
      </w:r>
      <w:proofErr w:type="spellStart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>moribus</w:t>
      </w:r>
      <w:proofErr w:type="spellEnd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 xml:space="preserve"> </w:t>
      </w:r>
      <w:proofErr w:type="spellStart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>Turcorum</w:t>
      </w:r>
      <w:proofErr w:type="spellEnd"/>
      <w:r w:rsidR="001D5523" w:rsidRPr="009713A5">
        <w:rPr>
          <w:rFonts w:ascii="Arial" w:hAnsi="Arial" w:cs="Arial"/>
          <w:i/>
          <w:iCs/>
          <w:sz w:val="16"/>
          <w:szCs w:val="16"/>
          <w:lang w:eastAsia="de-DE"/>
        </w:rPr>
        <w:t>, um 1480</w:t>
      </w:r>
      <w:r>
        <w:rPr>
          <w:rFonts w:ascii="Arial" w:hAnsi="Arial" w:cs="Arial"/>
          <w:i/>
          <w:iCs/>
          <w:sz w:val="16"/>
          <w:szCs w:val="16"/>
          <w:lang w:eastAsia="de-DE"/>
        </w:rPr>
        <w:t>)</w:t>
      </w:r>
    </w:p>
    <w:p w:rsidR="001D5523" w:rsidRDefault="001D5523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1D5523" w:rsidRDefault="001D5523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  <w:sectPr w:rsidR="001D5523" w:rsidSect="00DE1950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:rsidR="009713A5" w:rsidRDefault="009713A5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  <w:sectPr w:rsidR="009713A5" w:rsidSect="001D5523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B90AA5" w:rsidRDefault="00B90AA5" w:rsidP="005630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15711">
        <w:rPr>
          <w:rFonts w:ascii="Arial" w:hAnsi="Arial" w:cs="Arial"/>
          <w:i/>
          <w:sz w:val="24"/>
          <w:szCs w:val="24"/>
          <w:u w:val="single"/>
        </w:rPr>
        <w:lastRenderedPageBreak/>
        <w:t>M</w:t>
      </w:r>
      <w:r w:rsidR="00FB1BC2">
        <w:rPr>
          <w:rFonts w:ascii="Arial" w:hAnsi="Arial" w:cs="Arial"/>
          <w:i/>
          <w:sz w:val="24"/>
          <w:szCs w:val="24"/>
          <w:u w:val="single"/>
        </w:rPr>
        <w:t>4</w:t>
      </w:r>
      <w:r w:rsidRPr="00A15711">
        <w:rPr>
          <w:rFonts w:ascii="Arial" w:hAnsi="Arial" w:cs="Arial"/>
          <w:i/>
          <w:sz w:val="24"/>
          <w:szCs w:val="24"/>
          <w:u w:val="single"/>
        </w:rPr>
        <w:t xml:space="preserve">: Bischof Paolo </w:t>
      </w:r>
      <w:proofErr w:type="spellStart"/>
      <w:r w:rsidRPr="00A15711">
        <w:rPr>
          <w:rFonts w:ascii="Arial" w:hAnsi="Arial" w:cs="Arial"/>
          <w:i/>
          <w:sz w:val="24"/>
          <w:szCs w:val="24"/>
          <w:u w:val="single"/>
        </w:rPr>
        <w:t>Giovio</w:t>
      </w:r>
      <w:proofErr w:type="spellEnd"/>
      <w:r w:rsidRPr="00A15711">
        <w:rPr>
          <w:rFonts w:ascii="Arial" w:hAnsi="Arial" w:cs="Arial"/>
          <w:i/>
          <w:sz w:val="24"/>
          <w:szCs w:val="24"/>
          <w:u w:val="single"/>
        </w:rPr>
        <w:t xml:space="preserve"> von </w:t>
      </w:r>
      <w:proofErr w:type="spellStart"/>
      <w:r w:rsidRPr="00A15711">
        <w:rPr>
          <w:rFonts w:ascii="Arial" w:hAnsi="Arial" w:cs="Arial"/>
          <w:i/>
          <w:sz w:val="24"/>
          <w:szCs w:val="24"/>
          <w:u w:val="single"/>
        </w:rPr>
        <w:t>Nocera</w:t>
      </w:r>
      <w:proofErr w:type="spellEnd"/>
      <w:r w:rsidRPr="00A15711">
        <w:rPr>
          <w:rFonts w:ascii="Arial" w:hAnsi="Arial" w:cs="Arial"/>
          <w:i/>
          <w:sz w:val="24"/>
          <w:szCs w:val="24"/>
          <w:u w:val="single"/>
        </w:rPr>
        <w:t xml:space="preserve"> (1530): Die Türken eine Gefahr für die gesa</w:t>
      </w:r>
      <w:r w:rsidRPr="00A15711">
        <w:rPr>
          <w:rFonts w:ascii="Arial" w:hAnsi="Arial" w:cs="Arial"/>
          <w:i/>
          <w:sz w:val="24"/>
          <w:szCs w:val="24"/>
          <w:u w:val="single"/>
        </w:rPr>
        <w:t>m</w:t>
      </w:r>
      <w:r w:rsidRPr="00A15711">
        <w:rPr>
          <w:rFonts w:ascii="Arial" w:hAnsi="Arial" w:cs="Arial"/>
          <w:i/>
          <w:sz w:val="24"/>
          <w:szCs w:val="24"/>
          <w:u w:val="single"/>
        </w:rPr>
        <w:t>te Christenheit</w:t>
      </w:r>
    </w:p>
    <w:p w:rsidR="00492ED2" w:rsidRPr="00492ED2" w:rsidRDefault="00492ED2" w:rsidP="00563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aus urheberrechtlichen Gründen gelöscht zu finden unter:</w:t>
      </w:r>
    </w:p>
    <w:p w:rsidR="00B90AA5" w:rsidRPr="00492ED2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ED2">
        <w:rPr>
          <w:rFonts w:ascii="Arial" w:hAnsi="Arial" w:cs="Arial"/>
          <w:sz w:val="24"/>
          <w:szCs w:val="24"/>
        </w:rPr>
        <w:t xml:space="preserve">Paolo </w:t>
      </w:r>
      <w:proofErr w:type="spellStart"/>
      <w:r w:rsidRPr="00492ED2">
        <w:rPr>
          <w:rFonts w:ascii="Arial" w:hAnsi="Arial" w:cs="Arial"/>
          <w:sz w:val="24"/>
          <w:szCs w:val="24"/>
        </w:rPr>
        <w:t>Giovio</w:t>
      </w:r>
      <w:proofErr w:type="spellEnd"/>
      <w:r w:rsidRPr="00492ED2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492ED2">
        <w:rPr>
          <w:rFonts w:ascii="Arial" w:hAnsi="Arial" w:cs="Arial"/>
          <w:sz w:val="24"/>
          <w:szCs w:val="24"/>
        </w:rPr>
        <w:t>Nocera</w:t>
      </w:r>
      <w:proofErr w:type="spellEnd"/>
      <w:r w:rsidRPr="00492ED2">
        <w:rPr>
          <w:rFonts w:ascii="Arial" w:hAnsi="Arial" w:cs="Arial"/>
          <w:sz w:val="24"/>
          <w:szCs w:val="24"/>
        </w:rPr>
        <w:t xml:space="preserve"> an Kaiser Karl V., </w:t>
      </w:r>
      <w:proofErr w:type="spellStart"/>
      <w:r w:rsidRPr="00492ED2">
        <w:rPr>
          <w:rFonts w:ascii="Arial" w:hAnsi="Arial" w:cs="Arial"/>
          <w:sz w:val="24"/>
          <w:szCs w:val="24"/>
        </w:rPr>
        <w:t>zit</w:t>
      </w:r>
      <w:proofErr w:type="spellEnd"/>
      <w:r w:rsidRPr="00492ED2">
        <w:rPr>
          <w:rFonts w:ascii="Arial" w:hAnsi="Arial" w:cs="Arial"/>
          <w:sz w:val="24"/>
          <w:szCs w:val="24"/>
        </w:rPr>
        <w:t xml:space="preserve"> nach Geißler, S.83f in Schulze/</w:t>
      </w:r>
      <w:r w:rsidR="00B90AA5" w:rsidRPr="00492ED2">
        <w:rPr>
          <w:rFonts w:ascii="Arial" w:hAnsi="Arial" w:cs="Arial"/>
          <w:sz w:val="24"/>
          <w:szCs w:val="24"/>
        </w:rPr>
        <w:t>Paul: Europäische Geschichte, Quellen und Materialien, S.928f.</w:t>
      </w:r>
    </w:p>
    <w:p w:rsidR="00A15711" w:rsidRPr="00492ED2" w:rsidRDefault="00A15711" w:rsidP="00DB35E5">
      <w:pPr>
        <w:spacing w:after="0" w:line="240" w:lineRule="auto"/>
        <w:rPr>
          <w:rFonts w:ascii="Arial" w:hAnsi="Arial" w:cs="Arial"/>
          <w:sz w:val="24"/>
          <w:szCs w:val="24"/>
        </w:rPr>
        <w:sectPr w:rsidR="00A15711" w:rsidRPr="00492ED2" w:rsidSect="00A15711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9713A5" w:rsidRDefault="009713A5" w:rsidP="00DB35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523" w:rsidRPr="00B04EF3" w:rsidRDefault="001D552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i/>
          <w:sz w:val="24"/>
          <w:szCs w:val="24"/>
          <w:u w:val="single"/>
        </w:rPr>
        <w:t>M5</w:t>
      </w:r>
      <w:r w:rsidR="00B04EF3" w:rsidRPr="002547D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547D6">
        <w:rPr>
          <w:rFonts w:ascii="Arial" w:hAnsi="Arial" w:cs="Arial"/>
          <w:i/>
          <w:sz w:val="24"/>
          <w:szCs w:val="24"/>
          <w:u w:val="single"/>
        </w:rPr>
        <w:t>Theodor Körner (1812)</w:t>
      </w:r>
      <w:r w:rsidR="00B04EF3" w:rsidRPr="002547D6">
        <w:rPr>
          <w:rFonts w:ascii="Arial" w:hAnsi="Arial" w:cs="Arial"/>
          <w:i/>
          <w:sz w:val="24"/>
          <w:szCs w:val="24"/>
          <w:u w:val="single"/>
        </w:rPr>
        <w:t xml:space="preserve"> Die Türkenkriege (1566) als Stoff eines Dramas</w:t>
      </w:r>
      <w:r w:rsidR="00B04EF3" w:rsidRPr="00B04EF3">
        <w:rPr>
          <w:rFonts w:ascii="Arial" w:hAnsi="Arial" w:cs="Arial"/>
          <w:sz w:val="24"/>
          <w:szCs w:val="24"/>
        </w:rPr>
        <w:t>.</w:t>
      </w:r>
    </w:p>
    <w:p w:rsidR="00B04EF3" w:rsidRPr="00B04EF3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i/>
          <w:sz w:val="24"/>
          <w:szCs w:val="24"/>
        </w:rPr>
        <w:t>Der Dichter Theodor Körner verarbeitet in seinem Trauerspiel „</w:t>
      </w:r>
      <w:proofErr w:type="spellStart"/>
      <w:r w:rsidRPr="002547D6">
        <w:rPr>
          <w:rFonts w:ascii="Arial" w:hAnsi="Arial" w:cs="Arial"/>
          <w:i/>
          <w:sz w:val="24"/>
          <w:szCs w:val="24"/>
        </w:rPr>
        <w:t>Zriny</w:t>
      </w:r>
      <w:proofErr w:type="spellEnd"/>
      <w:r w:rsidRPr="002547D6">
        <w:rPr>
          <w:rFonts w:ascii="Arial" w:hAnsi="Arial" w:cs="Arial"/>
          <w:i/>
          <w:sz w:val="24"/>
          <w:szCs w:val="24"/>
        </w:rPr>
        <w:t>“ (1812) die B</w:t>
      </w:r>
      <w:r w:rsidRPr="002547D6">
        <w:rPr>
          <w:rFonts w:ascii="Arial" w:hAnsi="Arial" w:cs="Arial"/>
          <w:i/>
          <w:sz w:val="24"/>
          <w:szCs w:val="24"/>
        </w:rPr>
        <w:t>e</w:t>
      </w:r>
      <w:r w:rsidRPr="002547D6">
        <w:rPr>
          <w:rFonts w:ascii="Arial" w:hAnsi="Arial" w:cs="Arial"/>
          <w:i/>
          <w:sz w:val="24"/>
          <w:szCs w:val="24"/>
        </w:rPr>
        <w:t xml:space="preserve">lagerung der ungarischen Festung </w:t>
      </w:r>
      <w:proofErr w:type="spellStart"/>
      <w:r w:rsidRPr="002547D6">
        <w:rPr>
          <w:rFonts w:ascii="Arial" w:hAnsi="Arial" w:cs="Arial"/>
          <w:i/>
          <w:sz w:val="24"/>
          <w:szCs w:val="24"/>
        </w:rPr>
        <w:t>Szigeht</w:t>
      </w:r>
      <w:proofErr w:type="spellEnd"/>
      <w:r w:rsidRPr="002547D6">
        <w:rPr>
          <w:rFonts w:ascii="Arial" w:hAnsi="Arial" w:cs="Arial"/>
          <w:i/>
          <w:sz w:val="24"/>
          <w:szCs w:val="24"/>
        </w:rPr>
        <w:t xml:space="preserve"> (1566) gegen die Übermacht der Osm</w:t>
      </w:r>
      <w:r w:rsidRPr="002547D6">
        <w:rPr>
          <w:rFonts w:ascii="Arial" w:hAnsi="Arial" w:cs="Arial"/>
          <w:i/>
          <w:sz w:val="24"/>
          <w:szCs w:val="24"/>
        </w:rPr>
        <w:t>a</w:t>
      </w:r>
      <w:r w:rsidRPr="002547D6">
        <w:rPr>
          <w:rFonts w:ascii="Arial" w:hAnsi="Arial" w:cs="Arial"/>
          <w:i/>
          <w:sz w:val="24"/>
          <w:szCs w:val="24"/>
        </w:rPr>
        <w:t>nen unter Suleiman II</w:t>
      </w:r>
      <w:r w:rsidRPr="00B04EF3">
        <w:rPr>
          <w:rFonts w:ascii="Arial" w:hAnsi="Arial" w:cs="Arial"/>
          <w:sz w:val="24"/>
          <w:szCs w:val="24"/>
        </w:rPr>
        <w:t>.</w:t>
      </w:r>
    </w:p>
    <w:p w:rsidR="006613C9" w:rsidRDefault="006613C9" w:rsidP="00DB35E5">
      <w:pPr>
        <w:spacing w:after="0" w:line="240" w:lineRule="auto"/>
        <w:rPr>
          <w:rFonts w:ascii="Comic Sans MS" w:hAnsi="Comic Sans MS"/>
          <w:sz w:val="24"/>
          <w:szCs w:val="24"/>
        </w:rPr>
        <w:sectPr w:rsidR="006613C9" w:rsidSect="00C041F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04EF3" w:rsidRDefault="00B04EF3" w:rsidP="00DB35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52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547D6">
        <w:rPr>
          <w:rFonts w:ascii="Arial" w:hAnsi="Arial" w:cs="Arial"/>
          <w:sz w:val="24"/>
          <w:szCs w:val="24"/>
          <w:u w:val="single"/>
        </w:rPr>
        <w:t>4. Auftritt</w:t>
      </w:r>
    </w:p>
    <w:p w:rsidR="00B04EF3" w:rsidRPr="002547D6" w:rsidRDefault="007E1E44" w:rsidP="00DB35E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Vilacky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[</w:t>
      </w:r>
      <w:r w:rsidR="00B04EF3" w:rsidRPr="002547D6">
        <w:rPr>
          <w:rFonts w:ascii="Arial" w:hAnsi="Arial" w:cs="Arial"/>
          <w:i/>
          <w:sz w:val="24"/>
          <w:szCs w:val="24"/>
        </w:rPr>
        <w:t>ungarischer Held] wird schwer verwundet zu Suleiman gebracht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47D6">
        <w:rPr>
          <w:rFonts w:ascii="Arial" w:hAnsi="Arial" w:cs="Arial"/>
          <w:b/>
          <w:sz w:val="24"/>
          <w:szCs w:val="24"/>
        </w:rPr>
        <w:t>Suleiman: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[…] Wer bist du Jüngling? Sprich!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547D6">
        <w:rPr>
          <w:rFonts w:ascii="Arial" w:hAnsi="Arial" w:cs="Arial"/>
          <w:b/>
          <w:sz w:val="24"/>
          <w:szCs w:val="24"/>
        </w:rPr>
        <w:t>Vilacky</w:t>
      </w:r>
      <w:proofErr w:type="spellEnd"/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Ein ungar und ein Christ: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So steh ich doppelt hoch in deinem Hasse.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b/>
          <w:sz w:val="24"/>
          <w:szCs w:val="24"/>
        </w:rPr>
        <w:t>Suleiman</w:t>
      </w:r>
      <w:r w:rsidRPr="002547D6">
        <w:rPr>
          <w:rFonts w:ascii="Arial" w:hAnsi="Arial" w:cs="Arial"/>
          <w:sz w:val="24"/>
          <w:szCs w:val="24"/>
        </w:rPr>
        <w:t>: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47D6">
        <w:rPr>
          <w:rFonts w:ascii="Arial" w:hAnsi="Arial" w:cs="Arial"/>
          <w:sz w:val="24"/>
          <w:szCs w:val="24"/>
        </w:rPr>
        <w:lastRenderedPageBreak/>
        <w:t>Bildst</w:t>
      </w:r>
      <w:proofErr w:type="spellEnd"/>
      <w:r w:rsidRPr="002547D6">
        <w:rPr>
          <w:rFonts w:ascii="Arial" w:hAnsi="Arial" w:cs="Arial"/>
          <w:sz w:val="24"/>
          <w:szCs w:val="24"/>
        </w:rPr>
        <w:t xml:space="preserve"> du dir ein, ich ließe, mich herab.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Den einzelnen zu hassen? Stolzer Träumer!</w:t>
      </w:r>
    </w:p>
    <w:p w:rsidR="00B04EF3" w:rsidRPr="002547D6" w:rsidRDefault="00B04EF3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Ich zähl nie die Tropfen meiner Meere</w:t>
      </w:r>
      <w:r w:rsidR="002547D6" w:rsidRPr="002547D6">
        <w:rPr>
          <w:rFonts w:ascii="Arial" w:hAnsi="Arial" w:cs="Arial"/>
          <w:sz w:val="24"/>
          <w:szCs w:val="24"/>
        </w:rPr>
        <w:t>,</w:t>
      </w:r>
    </w:p>
    <w:p w:rsidR="002547D6" w:rsidRPr="002547D6" w:rsidRDefault="002547D6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Mein Kaiserhass trifft nur das Volk als Volk […]</w:t>
      </w:r>
    </w:p>
    <w:p w:rsidR="002547D6" w:rsidRPr="002547D6" w:rsidRDefault="002547D6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[…]</w:t>
      </w:r>
    </w:p>
    <w:p w:rsidR="002547D6" w:rsidRPr="002547D6" w:rsidRDefault="002547D6" w:rsidP="00DB3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47D6">
        <w:rPr>
          <w:rFonts w:ascii="Arial" w:hAnsi="Arial" w:cs="Arial"/>
          <w:b/>
          <w:sz w:val="24"/>
          <w:szCs w:val="24"/>
        </w:rPr>
        <w:t>Suleiman:</w:t>
      </w:r>
    </w:p>
    <w:p w:rsidR="002547D6" w:rsidRPr="002547D6" w:rsidRDefault="002547D6" w:rsidP="00DB35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7D6">
        <w:rPr>
          <w:rFonts w:ascii="Arial" w:hAnsi="Arial" w:cs="Arial"/>
          <w:sz w:val="24"/>
          <w:szCs w:val="24"/>
        </w:rPr>
        <w:t>Christ, Menschen achten hab ich längst verlernt.</w:t>
      </w:r>
    </w:p>
    <w:p w:rsidR="002547D6" w:rsidRDefault="002547D6" w:rsidP="00DB35E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547D6">
        <w:rPr>
          <w:rFonts w:ascii="Arial" w:hAnsi="Arial" w:cs="Arial"/>
          <w:sz w:val="16"/>
          <w:szCs w:val="16"/>
        </w:rPr>
        <w:t xml:space="preserve">Körner, </w:t>
      </w:r>
      <w:proofErr w:type="spellStart"/>
      <w:r w:rsidRPr="002547D6">
        <w:rPr>
          <w:rFonts w:ascii="Arial" w:hAnsi="Arial" w:cs="Arial"/>
          <w:sz w:val="16"/>
          <w:szCs w:val="16"/>
        </w:rPr>
        <w:t>Zriny</w:t>
      </w:r>
      <w:proofErr w:type="spellEnd"/>
      <w:r w:rsidRPr="002547D6">
        <w:rPr>
          <w:rFonts w:ascii="Arial" w:hAnsi="Arial" w:cs="Arial"/>
          <w:sz w:val="16"/>
          <w:szCs w:val="16"/>
        </w:rPr>
        <w:t>, in: W</w:t>
      </w:r>
      <w:r w:rsidR="004A6A8B">
        <w:rPr>
          <w:rFonts w:ascii="Arial" w:hAnsi="Arial" w:cs="Arial"/>
          <w:sz w:val="16"/>
          <w:szCs w:val="16"/>
        </w:rPr>
        <w:t>er</w:t>
      </w:r>
      <w:r w:rsidRPr="002547D6">
        <w:rPr>
          <w:rFonts w:ascii="Arial" w:hAnsi="Arial" w:cs="Arial"/>
          <w:sz w:val="16"/>
          <w:szCs w:val="16"/>
        </w:rPr>
        <w:t>ke, S.139f)</w:t>
      </w:r>
    </w:p>
    <w:p w:rsidR="006613C9" w:rsidRDefault="006613C9" w:rsidP="00DB35E5">
      <w:pPr>
        <w:spacing w:after="0" w:line="240" w:lineRule="auto"/>
        <w:rPr>
          <w:rFonts w:ascii="Comic Sans MS" w:hAnsi="Comic Sans MS"/>
          <w:sz w:val="24"/>
          <w:szCs w:val="24"/>
        </w:rPr>
        <w:sectPr w:rsidR="006613C9" w:rsidSect="006613C9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</w:p>
    <w:p w:rsidR="006613C9" w:rsidRDefault="006613C9" w:rsidP="00DB35E5">
      <w:pPr>
        <w:spacing w:after="0" w:line="240" w:lineRule="auto"/>
        <w:rPr>
          <w:rFonts w:ascii="Comic Sans MS" w:hAnsi="Comic Sans MS"/>
          <w:sz w:val="24"/>
          <w:szCs w:val="24"/>
        </w:rPr>
        <w:sectPr w:rsidR="006613C9" w:rsidSect="006613C9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</w:p>
    <w:p w:rsidR="006613C9" w:rsidRPr="001E5E32" w:rsidRDefault="006613C9" w:rsidP="00DB35E5">
      <w:pPr>
        <w:spacing w:after="0" w:line="240" w:lineRule="auto"/>
        <w:rPr>
          <w:rFonts w:ascii="Arial" w:hAnsi="Arial" w:cs="Arial"/>
          <w:sz w:val="20"/>
          <w:szCs w:val="20"/>
        </w:rPr>
        <w:sectPr w:rsidR="006613C9" w:rsidRPr="001E5E32" w:rsidSect="006613C9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1E5E32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M6 Schön, Eduard; gedruckt </w:t>
      </w:r>
      <w:proofErr w:type="spellStart"/>
      <w:r w:rsidRPr="001E5E32">
        <w:rPr>
          <w:rFonts w:ascii="Arial" w:hAnsi="Arial" w:cs="Arial"/>
          <w:i/>
          <w:sz w:val="24"/>
          <w:szCs w:val="24"/>
          <w:u w:val="single"/>
        </w:rPr>
        <w:t>Guldenmund</w:t>
      </w:r>
      <w:proofErr w:type="spellEnd"/>
      <w:r w:rsidRPr="001E5E32">
        <w:rPr>
          <w:rFonts w:ascii="Arial" w:hAnsi="Arial" w:cs="Arial"/>
          <w:i/>
          <w:sz w:val="24"/>
          <w:szCs w:val="24"/>
          <w:u w:val="single"/>
        </w:rPr>
        <w:t xml:space="preserve"> 1530 „Der armen Leute Klag“</w:t>
      </w:r>
      <w:r w:rsidRPr="006613C9">
        <w:rPr>
          <w:rFonts w:ascii="Arial" w:hAnsi="Arial" w:cs="Arial"/>
          <w:sz w:val="24"/>
          <w:szCs w:val="24"/>
        </w:rPr>
        <w:t xml:space="preserve"> </w:t>
      </w:r>
      <w:r w:rsidRPr="001E5E32">
        <w:rPr>
          <w:rFonts w:ascii="Arial" w:hAnsi="Arial" w:cs="Arial"/>
          <w:sz w:val="20"/>
          <w:szCs w:val="20"/>
        </w:rPr>
        <w:t>(1530, Hol</w:t>
      </w:r>
      <w:r w:rsidRPr="001E5E32">
        <w:rPr>
          <w:rFonts w:ascii="Arial" w:hAnsi="Arial" w:cs="Arial"/>
          <w:sz w:val="20"/>
          <w:szCs w:val="20"/>
        </w:rPr>
        <w:t>z</w:t>
      </w:r>
      <w:r w:rsidRPr="001E5E32">
        <w:rPr>
          <w:rFonts w:ascii="Arial" w:hAnsi="Arial" w:cs="Arial"/>
          <w:sz w:val="20"/>
          <w:szCs w:val="20"/>
        </w:rPr>
        <w:t>schnitt, 30,6cm x</w:t>
      </w:r>
      <w:r w:rsidR="00FB1BC2">
        <w:rPr>
          <w:rFonts w:ascii="Arial" w:hAnsi="Arial" w:cs="Arial"/>
          <w:sz w:val="20"/>
          <w:szCs w:val="20"/>
        </w:rPr>
        <w:t xml:space="preserve"> </w:t>
      </w:r>
      <w:r w:rsidRPr="001E5E32">
        <w:rPr>
          <w:rFonts w:ascii="Arial" w:hAnsi="Arial" w:cs="Arial"/>
          <w:sz w:val="20"/>
          <w:szCs w:val="20"/>
        </w:rPr>
        <w:t>19</w:t>
      </w:r>
      <w:r w:rsidR="00FB1BC2">
        <w:rPr>
          <w:rFonts w:ascii="Arial" w:hAnsi="Arial" w:cs="Arial"/>
          <w:sz w:val="20"/>
          <w:szCs w:val="20"/>
        </w:rPr>
        <w:t>,</w:t>
      </w:r>
      <w:r w:rsidRPr="001E5E32">
        <w:rPr>
          <w:rFonts w:ascii="Arial" w:hAnsi="Arial" w:cs="Arial"/>
          <w:sz w:val="20"/>
          <w:szCs w:val="20"/>
        </w:rPr>
        <w:t xml:space="preserve">2 cm, gedruckt von Hans </w:t>
      </w:r>
      <w:proofErr w:type="spellStart"/>
      <w:r w:rsidRPr="001E5E32">
        <w:rPr>
          <w:rFonts w:ascii="Arial" w:hAnsi="Arial" w:cs="Arial"/>
          <w:sz w:val="20"/>
          <w:szCs w:val="20"/>
        </w:rPr>
        <w:t>Guldenmund</w:t>
      </w:r>
      <w:proofErr w:type="spellEnd"/>
      <w:r w:rsidRPr="001E5E32">
        <w:rPr>
          <w:rFonts w:ascii="Arial" w:hAnsi="Arial" w:cs="Arial"/>
          <w:sz w:val="20"/>
          <w:szCs w:val="20"/>
        </w:rPr>
        <w:t>)</w:t>
      </w:r>
      <w:r w:rsidR="001E5E32">
        <w:rPr>
          <w:rStyle w:val="Funotenzeichen"/>
          <w:rFonts w:ascii="Arial" w:hAnsi="Arial" w:cs="Arial"/>
          <w:sz w:val="20"/>
          <w:szCs w:val="20"/>
        </w:rPr>
        <w:footnoteReference w:id="2"/>
      </w:r>
    </w:p>
    <w:p w:rsidR="00B90AA5" w:rsidRDefault="00492ED2" w:rsidP="00A157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44796212" wp14:editId="7FB4153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352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355" y="21481"/>
                <wp:lineTo x="21355" y="0"/>
                <wp:lineTo x="0" y="0"/>
              </wp:wrapPolygon>
            </wp:wrapTight>
            <wp:docPr id="8" name="Bild 3" descr="Schoen, Erhard: Türkische Grausamk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en, Erhard: Türkische Grausamkeit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8251" w:tblpY="10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1"/>
      </w:tblGrid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0CB" w:rsidRPr="004B70CB" w:rsidTr="004B70CB">
        <w:trPr>
          <w:tblCellSpacing w:w="15" w:type="dxa"/>
        </w:trPr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70CB" w:rsidRPr="004B70CB" w:rsidRDefault="004B70CB" w:rsidP="004B70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0E106E" w:rsidRDefault="000E106E" w:rsidP="00482E8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eastAsia="de-DE"/>
        </w:rPr>
      </w:pPr>
    </w:p>
    <w:p w:rsidR="005729D5" w:rsidRPr="00975370" w:rsidRDefault="00975370" w:rsidP="00482E8F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75370">
        <w:rPr>
          <w:rFonts w:ascii="Arial" w:hAnsi="Arial" w:cs="Arial"/>
          <w:i/>
          <w:sz w:val="24"/>
          <w:szCs w:val="24"/>
          <w:u w:val="single"/>
          <w:lang w:eastAsia="de-DE"/>
        </w:rPr>
        <w:t xml:space="preserve">M 7 </w:t>
      </w:r>
      <w:proofErr w:type="spellStart"/>
      <w:r w:rsidRPr="00975370">
        <w:rPr>
          <w:rFonts w:ascii="Arial" w:hAnsi="Arial" w:cs="Arial"/>
          <w:i/>
          <w:sz w:val="24"/>
          <w:szCs w:val="24"/>
          <w:u w:val="single"/>
          <w:lang w:eastAsia="de-DE"/>
        </w:rPr>
        <w:t>Schoen</w:t>
      </w:r>
      <w:proofErr w:type="spellEnd"/>
      <w:r w:rsidRPr="00975370">
        <w:rPr>
          <w:rFonts w:ascii="Arial" w:hAnsi="Arial" w:cs="Arial"/>
          <w:i/>
          <w:sz w:val="24"/>
          <w:szCs w:val="24"/>
          <w:u w:val="single"/>
          <w:lang w:eastAsia="de-DE"/>
        </w:rPr>
        <w:t>, Eduard: Türke mit zwei Gefangenen</w:t>
      </w:r>
      <w:r w:rsidR="004F58CF">
        <w:rPr>
          <w:rStyle w:val="Funotenzeichen"/>
          <w:noProof/>
          <w:lang w:eastAsia="de-DE"/>
        </w:rPr>
        <w:footnoteReference w:id="3"/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975370">
        <w:rPr>
          <w:rFonts w:ascii="Arial" w:hAnsi="Arial" w:cs="Arial"/>
          <w:sz w:val="24"/>
          <w:szCs w:val="24"/>
          <w:lang w:eastAsia="de-DE"/>
        </w:rPr>
        <w:t>(</w:t>
      </w:r>
      <w:r w:rsidRPr="00975370">
        <w:rPr>
          <w:rFonts w:ascii="Arial" w:hAnsi="Arial" w:cs="Arial"/>
          <w:sz w:val="20"/>
          <w:szCs w:val="20"/>
          <w:lang w:eastAsia="de-DE"/>
        </w:rPr>
        <w:t>um 1530, 30,5 cm x 18,6 cm, Hol</w:t>
      </w:r>
      <w:r w:rsidRPr="00975370">
        <w:rPr>
          <w:rFonts w:ascii="Arial" w:hAnsi="Arial" w:cs="Arial"/>
          <w:sz w:val="20"/>
          <w:szCs w:val="20"/>
          <w:lang w:eastAsia="de-DE"/>
        </w:rPr>
        <w:t>z</w:t>
      </w:r>
      <w:r w:rsidRPr="00975370">
        <w:rPr>
          <w:rFonts w:ascii="Arial" w:hAnsi="Arial" w:cs="Arial"/>
          <w:sz w:val="20"/>
          <w:szCs w:val="20"/>
          <w:lang w:eastAsia="de-DE"/>
        </w:rPr>
        <w:t xml:space="preserve">schnitt, gedruckt von Hans </w:t>
      </w:r>
      <w:proofErr w:type="spellStart"/>
      <w:r w:rsidRPr="00975370">
        <w:rPr>
          <w:rFonts w:ascii="Arial" w:hAnsi="Arial" w:cs="Arial"/>
          <w:sz w:val="20"/>
          <w:szCs w:val="20"/>
          <w:lang w:eastAsia="de-DE"/>
        </w:rPr>
        <w:t>Guldenmund</w:t>
      </w:r>
      <w:proofErr w:type="spellEnd"/>
      <w:r w:rsidRPr="00975370">
        <w:rPr>
          <w:rFonts w:ascii="Arial" w:hAnsi="Arial" w:cs="Arial"/>
          <w:sz w:val="20"/>
          <w:szCs w:val="20"/>
          <w:lang w:eastAsia="de-DE"/>
        </w:rPr>
        <w:t>)</w:t>
      </w:r>
    </w:p>
    <w:p w:rsidR="005729D5" w:rsidRPr="00482E8F" w:rsidRDefault="005729D5" w:rsidP="00482E8F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899231" cy="2966598"/>
            <wp:effectExtent l="0" t="0" r="6350" b="5715"/>
            <wp:docPr id="4" name="Grafik 4" descr="Schoen, Erhard: Türke mit zwei Gefang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en, Erhard: Türke mit zwei Gefangen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56" cy="30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A5" w:rsidRDefault="00B90AA5" w:rsidP="00482E8F">
      <w:pPr>
        <w:pStyle w:val="Listenabsatz"/>
        <w:rPr>
          <w:rFonts w:ascii="Comic Sans MS" w:hAnsi="Comic Sans MS"/>
          <w:sz w:val="24"/>
          <w:szCs w:val="24"/>
        </w:rPr>
      </w:pPr>
    </w:p>
    <w:p w:rsidR="00975370" w:rsidRPr="00975370" w:rsidRDefault="00975370" w:rsidP="00DE1950">
      <w:pPr>
        <w:pStyle w:val="Listenabsatz"/>
        <w:ind w:left="1440"/>
        <w:rPr>
          <w:rFonts w:ascii="Arial" w:hAnsi="Arial" w:cs="Arial"/>
        </w:rPr>
      </w:pPr>
    </w:p>
    <w:p w:rsidR="00D64D5B" w:rsidRPr="00D64D5B" w:rsidRDefault="00D64D5B" w:rsidP="00D64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sectPr w:rsidR="00D64D5B" w:rsidRPr="00D64D5B" w:rsidSect="00C041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0" w:rsidRDefault="00D77C90" w:rsidP="006B128A">
      <w:pPr>
        <w:spacing w:after="0" w:line="240" w:lineRule="auto"/>
      </w:pPr>
      <w:r>
        <w:separator/>
      </w:r>
    </w:p>
  </w:endnote>
  <w:endnote w:type="continuationSeparator" w:id="0">
    <w:p w:rsidR="00D77C90" w:rsidRDefault="00D77C90" w:rsidP="006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E" w:rsidRDefault="000E10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A5" w:rsidRPr="000E106E" w:rsidRDefault="00B90AA5">
    <w:pPr>
      <w:pStyle w:val="Fuzeile"/>
      <w:rPr>
        <w:rFonts w:asciiTheme="minorHAnsi" w:hAnsiTheme="minorHAnsi" w:cs="Arial"/>
      </w:rPr>
    </w:pPr>
    <w:r w:rsidRPr="009011DA">
      <w:rPr>
        <w:rFonts w:ascii="Arial" w:hAnsi="Arial" w:cs="Arial"/>
        <w:sz w:val="16"/>
        <w:szCs w:val="16"/>
      </w:rPr>
      <w:tab/>
    </w:r>
    <w:r w:rsidRPr="000E106E">
      <w:rPr>
        <w:rFonts w:asciiTheme="minorHAnsi" w:hAnsiTheme="minorHAnsi" w:cs="Arial"/>
        <w:sz w:val="16"/>
        <w:szCs w:val="16"/>
      </w:rPr>
      <w:t xml:space="preserve">Seite </w:t>
    </w:r>
    <w:r w:rsidRPr="000E106E">
      <w:rPr>
        <w:rFonts w:asciiTheme="minorHAnsi" w:hAnsiTheme="minorHAnsi" w:cs="Arial"/>
        <w:sz w:val="16"/>
        <w:szCs w:val="16"/>
      </w:rPr>
      <w:fldChar w:fldCharType="begin"/>
    </w:r>
    <w:r w:rsidRPr="000E106E">
      <w:rPr>
        <w:rFonts w:asciiTheme="minorHAnsi" w:hAnsiTheme="minorHAnsi" w:cs="Arial"/>
        <w:sz w:val="16"/>
        <w:szCs w:val="16"/>
      </w:rPr>
      <w:instrText>PAGE   \* MERGEFORMAT</w:instrText>
    </w:r>
    <w:r w:rsidRPr="000E106E">
      <w:rPr>
        <w:rFonts w:asciiTheme="minorHAnsi" w:hAnsiTheme="minorHAnsi" w:cs="Arial"/>
        <w:sz w:val="16"/>
        <w:szCs w:val="16"/>
      </w:rPr>
      <w:fldChar w:fldCharType="separate"/>
    </w:r>
    <w:r w:rsidR="00F36734">
      <w:rPr>
        <w:rFonts w:asciiTheme="minorHAnsi" w:hAnsiTheme="minorHAnsi" w:cs="Arial"/>
        <w:noProof/>
        <w:sz w:val="16"/>
        <w:szCs w:val="16"/>
      </w:rPr>
      <w:t>1</w:t>
    </w:r>
    <w:r w:rsidRPr="000E106E">
      <w:rPr>
        <w:rFonts w:asciiTheme="minorHAnsi" w:hAnsiTheme="minorHAnsi" w:cs="Arial"/>
        <w:sz w:val="16"/>
        <w:szCs w:val="16"/>
      </w:rPr>
      <w:fldChar w:fldCharType="end"/>
    </w:r>
    <w:r w:rsidRPr="000E106E">
      <w:rPr>
        <w:rFonts w:asciiTheme="minorHAnsi" w:hAnsiTheme="minorHAnsi"/>
        <w:sz w:val="16"/>
        <w:szCs w:val="16"/>
      </w:rPr>
      <w:t xml:space="preserve"> </w:t>
    </w:r>
    <w:r w:rsidR="009011DA" w:rsidRPr="000E106E">
      <w:rPr>
        <w:rFonts w:asciiTheme="minorHAnsi" w:hAnsiTheme="minorHAnsi"/>
        <w:sz w:val="16"/>
        <w:szCs w:val="16"/>
      </w:rPr>
      <w:tab/>
    </w:r>
    <w:r w:rsidR="009011DA" w:rsidRPr="000E106E">
      <w:rPr>
        <w:rFonts w:asciiTheme="minorHAnsi" w:hAnsiTheme="minorHAnsi" w:cs="Arial"/>
        <w:sz w:val="16"/>
        <w:szCs w:val="16"/>
      </w:rPr>
      <w:t>Tür</w:t>
    </w:r>
    <w:r w:rsidRPr="000E106E">
      <w:rPr>
        <w:rFonts w:asciiTheme="minorHAnsi" w:hAnsiTheme="minorHAnsi" w:cs="Arial"/>
        <w:sz w:val="16"/>
        <w:szCs w:val="16"/>
      </w:rPr>
      <w:t>kenfurcht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E" w:rsidRDefault="000E10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0" w:rsidRDefault="00D77C90" w:rsidP="006B128A">
      <w:pPr>
        <w:spacing w:after="0" w:line="240" w:lineRule="auto"/>
      </w:pPr>
      <w:r>
        <w:separator/>
      </w:r>
    </w:p>
  </w:footnote>
  <w:footnote w:type="continuationSeparator" w:id="0">
    <w:p w:rsidR="00D77C90" w:rsidRDefault="00D77C90" w:rsidP="006B128A">
      <w:pPr>
        <w:spacing w:after="0" w:line="240" w:lineRule="auto"/>
      </w:pPr>
      <w:r>
        <w:continuationSeparator/>
      </w:r>
    </w:p>
  </w:footnote>
  <w:footnote w:id="1">
    <w:p w:rsidR="000F11AD" w:rsidRDefault="000F11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B70CB">
        <w:rPr>
          <w:sz w:val="16"/>
          <w:szCs w:val="16"/>
        </w:rPr>
        <w:t xml:space="preserve">Miniatur aus </w:t>
      </w:r>
      <w:proofErr w:type="spellStart"/>
      <w:r w:rsidRPr="004B70CB">
        <w:rPr>
          <w:i/>
          <w:iCs/>
          <w:sz w:val="16"/>
          <w:szCs w:val="16"/>
        </w:rPr>
        <w:t>Voyage</w:t>
      </w:r>
      <w:proofErr w:type="spellEnd"/>
      <w:r w:rsidRPr="004B70CB">
        <w:rPr>
          <w:i/>
          <w:iCs/>
          <w:sz w:val="16"/>
          <w:szCs w:val="16"/>
        </w:rPr>
        <w:t xml:space="preserve"> </w:t>
      </w:r>
      <w:proofErr w:type="spellStart"/>
      <w:r w:rsidRPr="004B70CB">
        <w:rPr>
          <w:i/>
          <w:iCs/>
          <w:sz w:val="16"/>
          <w:szCs w:val="16"/>
        </w:rPr>
        <w:t>d’Outremer</w:t>
      </w:r>
      <w:proofErr w:type="spellEnd"/>
      <w:r w:rsidRPr="004B70CB">
        <w:rPr>
          <w:sz w:val="16"/>
          <w:szCs w:val="16"/>
        </w:rPr>
        <w:t xml:space="preserve"> von </w:t>
      </w:r>
      <w:proofErr w:type="spellStart"/>
      <w:r w:rsidRPr="004B70CB">
        <w:rPr>
          <w:sz w:val="16"/>
          <w:szCs w:val="16"/>
        </w:rPr>
        <w:t>Bertrandon</w:t>
      </w:r>
      <w:proofErr w:type="spellEnd"/>
      <w:r w:rsidRPr="004B70CB">
        <w:rPr>
          <w:sz w:val="16"/>
          <w:szCs w:val="16"/>
        </w:rPr>
        <w:t xml:space="preserve"> de la </w:t>
      </w:r>
      <w:proofErr w:type="spellStart"/>
      <w:r w:rsidRPr="004B70CB">
        <w:rPr>
          <w:sz w:val="16"/>
          <w:szCs w:val="16"/>
        </w:rPr>
        <w:t>Broquière</w:t>
      </w:r>
      <w:proofErr w:type="spellEnd"/>
      <w:r w:rsidRPr="004B70CB">
        <w:rPr>
          <w:sz w:val="16"/>
          <w:szCs w:val="16"/>
        </w:rPr>
        <w:t>, 1455. http://www.google.de/imgres?imgurl=https%3A%2F%2Fupload.wikimedia.org%2Fwikipedia%2Fcomons%2Fthumb%2Fd%2Fd5%2FSiege_of_Constantinople_BnF_MS_Fr_9087.jpg%2F170px-Si</w:t>
      </w:r>
      <w:r w:rsidRPr="004B70CB">
        <w:rPr>
          <w:sz w:val="16"/>
          <w:szCs w:val="16"/>
        </w:rPr>
        <w:t>e</w:t>
      </w:r>
      <w:r w:rsidRPr="004B70CB">
        <w:rPr>
          <w:sz w:val="16"/>
          <w:szCs w:val="16"/>
        </w:rPr>
        <w:t>ge_of_Constantinople_BnF_MS_Fr_9087.jpg&amp;imgrefurl=https%3A%2F%2Fde.wikipedia.org%2Fwiki%2FMehmed_II.&amp;h=259&amp;w=170&amp;tbnid=AuVDZElRo--qPM%3A&amp;zoom=1&amp;docid=3Sxt7Y7ipxmYOM&amp;ei=EMKJVfHlFsKcsgGpkoOwBQ&amp;tbm=isch&amp;iact=rc&amp;uact=3&amp;dur=243&amp;page=2&amp;start=24&amp;ndsp=32&amp;ved=0CIcBEK0DMCE</w:t>
      </w:r>
    </w:p>
  </w:footnote>
  <w:footnote w:id="2">
    <w:p w:rsidR="001E5E32" w:rsidRDefault="001E5E32" w:rsidP="001E5E32">
      <w:pPr>
        <w:spacing w:after="0" w:line="240" w:lineRule="auto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876DBA">
          <w:rPr>
            <w:rStyle w:val="Hyperlink"/>
            <w:sz w:val="16"/>
            <w:szCs w:val="16"/>
          </w:rPr>
          <w:t>http://www.zeno.org/nid/20004287436</w:t>
        </w:r>
      </w:hyperlink>
      <w:r>
        <w:rPr>
          <w:sz w:val="16"/>
          <w:szCs w:val="16"/>
        </w:rPr>
        <w:t xml:space="preserve">, </w:t>
      </w:r>
      <w:proofErr w:type="spellStart"/>
      <w:r w:rsidRPr="004B70CB">
        <w:rPr>
          <w:sz w:val="16"/>
          <w:szCs w:val="16"/>
        </w:rPr>
        <w:t>Lizenz:</w:t>
      </w:r>
      <w:hyperlink r:id="rId2" w:history="1">
        <w:r w:rsidRPr="004B70CB">
          <w:rPr>
            <w:rStyle w:val="Hyperlink"/>
            <w:sz w:val="16"/>
            <w:szCs w:val="16"/>
          </w:rPr>
          <w:t>Gemeinfrei</w:t>
        </w:r>
        <w:proofErr w:type="spellEnd"/>
      </w:hyperlink>
    </w:p>
  </w:footnote>
  <w:footnote w:id="3">
    <w:p w:rsidR="004F58CF" w:rsidRPr="00FB1BC2" w:rsidRDefault="004F58CF" w:rsidP="004F58CF">
      <w:pPr>
        <w:spacing w:after="0" w:line="240" w:lineRule="auto"/>
        <w:rPr>
          <w:sz w:val="16"/>
          <w:szCs w:val="16"/>
        </w:rPr>
      </w:pPr>
      <w:r>
        <w:rPr>
          <w:rStyle w:val="Funotenzeichen"/>
        </w:rPr>
        <w:footnoteRef/>
      </w:r>
      <w:r w:rsidRPr="00FB1BC2">
        <w:rPr>
          <w:sz w:val="16"/>
          <w:szCs w:val="16"/>
          <w:vertAlign w:val="subscript"/>
        </w:rPr>
        <w:t xml:space="preserve"> </w:t>
      </w:r>
      <w:proofErr w:type="spellStart"/>
      <w:r w:rsidRPr="00FB1BC2">
        <w:rPr>
          <w:sz w:val="16"/>
          <w:szCs w:val="16"/>
          <w:vertAlign w:val="subscript"/>
        </w:rPr>
        <w:t>Permalink</w:t>
      </w:r>
      <w:proofErr w:type="spellEnd"/>
      <w:r w:rsidRPr="00FB1BC2">
        <w:rPr>
          <w:sz w:val="16"/>
          <w:szCs w:val="16"/>
          <w:vertAlign w:val="subscript"/>
        </w:rPr>
        <w:t xml:space="preserve">: </w:t>
      </w:r>
      <w:hyperlink r:id="rId3" w:history="1">
        <w:r w:rsidRPr="00FB1BC2">
          <w:rPr>
            <w:rStyle w:val="Hyperlink"/>
            <w:sz w:val="16"/>
            <w:szCs w:val="16"/>
            <w:vertAlign w:val="subscript"/>
          </w:rPr>
          <w:t>http://www.zeno.org/nid/20004287428</w:t>
        </w:r>
      </w:hyperlink>
      <w:r w:rsidRPr="00FB1BC2">
        <w:rPr>
          <w:sz w:val="16"/>
          <w:szCs w:val="16"/>
          <w:vertAlign w:val="subscript"/>
        </w:rPr>
        <w:t xml:space="preserve">, Lizenz: </w:t>
      </w:r>
      <w:hyperlink r:id="rId4" w:history="1">
        <w:r w:rsidRPr="00FB1BC2">
          <w:rPr>
            <w:rStyle w:val="Hyperlink"/>
            <w:sz w:val="16"/>
            <w:szCs w:val="16"/>
          </w:rPr>
          <w:t>Gemeinfrei</w:t>
        </w:r>
      </w:hyperlink>
    </w:p>
    <w:p w:rsidR="004F58CF" w:rsidRDefault="004F58C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E" w:rsidRDefault="000E10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E" w:rsidRDefault="000E106E" w:rsidP="000E106E">
    <w:pPr>
      <w:pStyle w:val="Kopfzeile"/>
      <w:tabs>
        <w:tab w:val="left" w:pos="2700"/>
      </w:tabs>
      <w:rPr>
        <w:sz w:val="16"/>
        <w:szCs w:val="16"/>
      </w:rPr>
    </w:pPr>
    <w:r w:rsidRPr="00421CDF">
      <w:rPr>
        <w:rFonts w:asciiTheme="minorHAnsi" w:hAnsiTheme="minorHAnsi"/>
        <w:sz w:val="16"/>
        <w:szCs w:val="16"/>
      </w:rPr>
      <w:t>Geschichte- Allgemein bildendes</w:t>
    </w:r>
    <w:r>
      <w:rPr>
        <w:sz w:val="16"/>
        <w:szCs w:val="16"/>
      </w:rPr>
      <w:t xml:space="preserve"> Gymnasium: </w:t>
    </w:r>
    <w:proofErr w:type="spellStart"/>
    <w:r>
      <w:rPr>
        <w:sz w:val="16"/>
        <w:szCs w:val="16"/>
      </w:rPr>
      <w:t>Multiplikatorenschulung</w:t>
    </w:r>
    <w:proofErr w:type="spellEnd"/>
    <w:r>
      <w:rPr>
        <w:sz w:val="16"/>
        <w:szCs w:val="16"/>
      </w:rPr>
      <w:t>, Bad Wildbad 11.-13.1.2016</w:t>
    </w:r>
  </w:p>
  <w:p w:rsidR="00B90AA5" w:rsidRPr="009011DA" w:rsidRDefault="000E106E" w:rsidP="000E106E">
    <w:pPr>
      <w:pStyle w:val="Kopfzeile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 Lernen gestalten und begleiten: Bildungsplan 2016, Standardstufe 8 (ZPG)                                                                               </w:t>
    </w:r>
    <w:r w:rsidR="00B90AA5" w:rsidRPr="009011DA">
      <w:rPr>
        <w:rFonts w:ascii="Arial" w:hAnsi="Arial" w:cs="Arial"/>
        <w:sz w:val="16"/>
        <w:szCs w:val="16"/>
      </w:rPr>
      <w:t>4a__Türkenfurcht</w:t>
    </w:r>
  </w:p>
  <w:p w:rsidR="00B90AA5" w:rsidRPr="009011DA" w:rsidRDefault="00B90AA5" w:rsidP="006B128A">
    <w:pPr>
      <w:pStyle w:val="Kopfzeile"/>
      <w:jc w:val="right"/>
      <w:rPr>
        <w:rFonts w:ascii="Arial" w:hAnsi="Arial" w:cs="Arial"/>
        <w:sz w:val="16"/>
        <w:szCs w:val="16"/>
      </w:rPr>
    </w:pPr>
    <w:r w:rsidRPr="009011DA">
      <w:rPr>
        <w:rFonts w:ascii="Arial" w:hAnsi="Arial" w:cs="Arial"/>
        <w:sz w:val="16"/>
        <w:szCs w:val="16"/>
      </w:rPr>
      <w:t>Datum:</w:t>
    </w:r>
  </w:p>
  <w:p w:rsidR="00B90AA5" w:rsidRDefault="00B90A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E" w:rsidRDefault="000E10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18"/>
    <w:multiLevelType w:val="hybridMultilevel"/>
    <w:tmpl w:val="7066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665"/>
    <w:multiLevelType w:val="hybridMultilevel"/>
    <w:tmpl w:val="F5D8FD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64709"/>
    <w:multiLevelType w:val="hybridMultilevel"/>
    <w:tmpl w:val="BF4A2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5CB0"/>
    <w:multiLevelType w:val="hybridMultilevel"/>
    <w:tmpl w:val="074E7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31AD"/>
    <w:multiLevelType w:val="hybridMultilevel"/>
    <w:tmpl w:val="C6AAF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4FF2"/>
    <w:multiLevelType w:val="hybridMultilevel"/>
    <w:tmpl w:val="733430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F1D68"/>
    <w:multiLevelType w:val="hybridMultilevel"/>
    <w:tmpl w:val="D4764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A"/>
    <w:rsid w:val="00031D36"/>
    <w:rsid w:val="0004095D"/>
    <w:rsid w:val="00082448"/>
    <w:rsid w:val="000A02E9"/>
    <w:rsid w:val="000A4B6A"/>
    <w:rsid w:val="000E106E"/>
    <w:rsid w:val="000F11AD"/>
    <w:rsid w:val="00117D0C"/>
    <w:rsid w:val="0013179C"/>
    <w:rsid w:val="00161A33"/>
    <w:rsid w:val="001D098D"/>
    <w:rsid w:val="001D5523"/>
    <w:rsid w:val="001E5E32"/>
    <w:rsid w:val="001F3117"/>
    <w:rsid w:val="00241138"/>
    <w:rsid w:val="002547D6"/>
    <w:rsid w:val="002B3802"/>
    <w:rsid w:val="002C2006"/>
    <w:rsid w:val="002D3CA1"/>
    <w:rsid w:val="002E6952"/>
    <w:rsid w:val="003551C3"/>
    <w:rsid w:val="003A5F54"/>
    <w:rsid w:val="003B0612"/>
    <w:rsid w:val="003E27C1"/>
    <w:rsid w:val="003E2F50"/>
    <w:rsid w:val="00410234"/>
    <w:rsid w:val="004419C8"/>
    <w:rsid w:val="00482E8F"/>
    <w:rsid w:val="00492ED2"/>
    <w:rsid w:val="004A1319"/>
    <w:rsid w:val="004A6A8B"/>
    <w:rsid w:val="004B70CB"/>
    <w:rsid w:val="004F58CF"/>
    <w:rsid w:val="0053193F"/>
    <w:rsid w:val="00563097"/>
    <w:rsid w:val="005729D5"/>
    <w:rsid w:val="005A7632"/>
    <w:rsid w:val="005A7F75"/>
    <w:rsid w:val="005C6D32"/>
    <w:rsid w:val="006613C9"/>
    <w:rsid w:val="006B128A"/>
    <w:rsid w:val="006F1A85"/>
    <w:rsid w:val="007021A6"/>
    <w:rsid w:val="00787135"/>
    <w:rsid w:val="00790AE1"/>
    <w:rsid w:val="007E1E44"/>
    <w:rsid w:val="00866DD1"/>
    <w:rsid w:val="00874B56"/>
    <w:rsid w:val="008C0498"/>
    <w:rsid w:val="008C7BBF"/>
    <w:rsid w:val="009011DA"/>
    <w:rsid w:val="009534D1"/>
    <w:rsid w:val="009713A5"/>
    <w:rsid w:val="00975370"/>
    <w:rsid w:val="009A7045"/>
    <w:rsid w:val="00A15711"/>
    <w:rsid w:val="00A3128B"/>
    <w:rsid w:val="00A356DF"/>
    <w:rsid w:val="00A71DBC"/>
    <w:rsid w:val="00AA280A"/>
    <w:rsid w:val="00B04EF3"/>
    <w:rsid w:val="00B63D35"/>
    <w:rsid w:val="00B674B7"/>
    <w:rsid w:val="00B90AA5"/>
    <w:rsid w:val="00BC5AA5"/>
    <w:rsid w:val="00C041F7"/>
    <w:rsid w:val="00D64D5B"/>
    <w:rsid w:val="00D72908"/>
    <w:rsid w:val="00D77C90"/>
    <w:rsid w:val="00DB35E5"/>
    <w:rsid w:val="00DE1950"/>
    <w:rsid w:val="00E12108"/>
    <w:rsid w:val="00E25D21"/>
    <w:rsid w:val="00E41004"/>
    <w:rsid w:val="00EE2BAE"/>
    <w:rsid w:val="00F211D9"/>
    <w:rsid w:val="00F36734"/>
    <w:rsid w:val="00F71570"/>
    <w:rsid w:val="00F75406"/>
    <w:rsid w:val="00FB1BC2"/>
    <w:rsid w:val="00FC3EEC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2E9"/>
    <w:pPr>
      <w:spacing w:after="160" w:line="259" w:lineRule="auto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locked/>
    <w:rsid w:val="00482E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08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128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128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B128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82E8F"/>
    <w:rPr>
      <w:rFonts w:cs="Times New Roman"/>
      <w:color w:val="0000FF"/>
      <w:u w:val="single"/>
    </w:rPr>
  </w:style>
  <w:style w:type="character" w:customStyle="1" w:styleId="lbl">
    <w:name w:val="lbl"/>
    <w:basedOn w:val="Absatz-Standardschriftart"/>
    <w:uiPriority w:val="99"/>
    <w:rsid w:val="00482E8F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C041F7"/>
  </w:style>
  <w:style w:type="paragraph" w:styleId="Funotentext">
    <w:name w:val="footnote text"/>
    <w:basedOn w:val="Standard"/>
    <w:link w:val="FunotentextZchn"/>
    <w:uiPriority w:val="99"/>
    <w:semiHidden/>
    <w:unhideWhenUsed/>
    <w:rsid w:val="001E5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5E3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5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2E9"/>
    <w:pPr>
      <w:spacing w:after="160" w:line="259" w:lineRule="auto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locked/>
    <w:rsid w:val="00482E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08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128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128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B128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82E8F"/>
    <w:rPr>
      <w:rFonts w:cs="Times New Roman"/>
      <w:color w:val="0000FF"/>
      <w:u w:val="single"/>
    </w:rPr>
  </w:style>
  <w:style w:type="character" w:customStyle="1" w:styleId="lbl">
    <w:name w:val="lbl"/>
    <w:basedOn w:val="Absatz-Standardschriftart"/>
    <w:uiPriority w:val="99"/>
    <w:rsid w:val="00482E8F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C041F7"/>
  </w:style>
  <w:style w:type="paragraph" w:styleId="Funotentext">
    <w:name w:val="footnote text"/>
    <w:basedOn w:val="Standard"/>
    <w:link w:val="FunotentextZchn"/>
    <w:uiPriority w:val="99"/>
    <w:semiHidden/>
    <w:unhideWhenUsed/>
    <w:rsid w:val="001E5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5E3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5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no.org/nid/20004287428" TargetMode="External"/><Relationship Id="rId2" Type="http://schemas.openxmlformats.org/officeDocument/2006/relationships/hyperlink" Target="http://www.zeno.org/Zeno/-/Lizenz%3A+Gemeinfrei" TargetMode="External"/><Relationship Id="rId1" Type="http://schemas.openxmlformats.org/officeDocument/2006/relationships/hyperlink" Target="http://www.zeno.org/nid/20004287436" TargetMode="External"/><Relationship Id="rId4" Type="http://schemas.openxmlformats.org/officeDocument/2006/relationships/hyperlink" Target="http://www.zeno.org/Zeno/-/Lizenz%3A+Gemeinfr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4FD0-E1DA-4B03-9A09-3593B8CB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Türkenfurcht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Türkenfurcht</dc:title>
  <dc:creator>Annette</dc:creator>
  <cp:lastModifiedBy>Job</cp:lastModifiedBy>
  <cp:revision>2</cp:revision>
  <dcterms:created xsi:type="dcterms:W3CDTF">2016-06-13T14:32:00Z</dcterms:created>
  <dcterms:modified xsi:type="dcterms:W3CDTF">2016-06-13T14:32:00Z</dcterms:modified>
</cp:coreProperties>
</file>