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15" w:rsidRPr="007A20FE" w:rsidRDefault="00926D4F" w:rsidP="00926D4F">
      <w:pPr>
        <w:jc w:val="center"/>
        <w:rPr>
          <w:b/>
          <w:sz w:val="24"/>
          <w:szCs w:val="24"/>
        </w:rPr>
        <w:sectPr w:rsidR="00732915" w:rsidRPr="007A20FE" w:rsidSect="0071678F">
          <w:headerReference w:type="default" r:id="rId8"/>
          <w:pgSz w:w="11906" w:h="16838"/>
          <w:pgMar w:top="1417" w:right="1417" w:bottom="1134" w:left="1417" w:header="708" w:footer="708" w:gutter="0"/>
          <w:cols w:space="708"/>
          <w:docGrid w:linePitch="360"/>
        </w:sectPr>
      </w:pPr>
      <w:bookmarkStart w:id="0" w:name="_GoBack"/>
      <w:bookmarkEnd w:id="0"/>
      <w:r w:rsidRPr="007A20FE">
        <w:rPr>
          <w:b/>
          <w:sz w:val="24"/>
          <w:szCs w:val="24"/>
        </w:rPr>
        <w:t>Der UN-Teilungsplan</w:t>
      </w:r>
    </w:p>
    <w:p w:rsidR="00926D4F" w:rsidRDefault="00926D4F" w:rsidP="00926D4F">
      <w:pPr>
        <w:rPr>
          <w:b/>
          <w:sz w:val="24"/>
          <w:szCs w:val="24"/>
        </w:rPr>
      </w:pPr>
      <w:r w:rsidRPr="001B43B1">
        <w:rPr>
          <w:b/>
          <w:sz w:val="24"/>
          <w:szCs w:val="24"/>
        </w:rPr>
        <w:t>M</w:t>
      </w:r>
      <w:r>
        <w:rPr>
          <w:b/>
          <w:sz w:val="24"/>
          <w:szCs w:val="24"/>
        </w:rPr>
        <w:t xml:space="preserve"> 1</w:t>
      </w:r>
      <w:r w:rsidRPr="001B43B1">
        <w:rPr>
          <w:b/>
          <w:sz w:val="24"/>
          <w:szCs w:val="24"/>
        </w:rPr>
        <w:t xml:space="preserve"> Teilungsbeschluss der Vereinten Nationen für Palästina vom</w:t>
      </w:r>
      <w:r>
        <w:rPr>
          <w:b/>
          <w:sz w:val="24"/>
          <w:szCs w:val="24"/>
        </w:rPr>
        <w:t xml:space="preserve"> 29.</w:t>
      </w:r>
      <w:r w:rsidRPr="001B43B1">
        <w:rPr>
          <w:b/>
          <w:sz w:val="24"/>
          <w:szCs w:val="24"/>
        </w:rPr>
        <w:t xml:space="preserve"> November 1947</w:t>
      </w:r>
      <w:r>
        <w:rPr>
          <w:b/>
          <w:sz w:val="24"/>
          <w:szCs w:val="24"/>
        </w:rPr>
        <w:t xml:space="preserve"> (Resolution 181 (II))</w:t>
      </w:r>
    </w:p>
    <w:p w:rsidR="00926D4F" w:rsidRPr="00215922" w:rsidRDefault="00926D4F" w:rsidP="00926D4F">
      <w:pPr>
        <w:autoSpaceDE w:val="0"/>
        <w:autoSpaceDN w:val="0"/>
        <w:adjustRightInd w:val="0"/>
        <w:spacing w:after="0" w:line="240" w:lineRule="auto"/>
        <w:rPr>
          <w:rFonts w:cstheme="minorHAnsi"/>
          <w:sz w:val="24"/>
          <w:szCs w:val="24"/>
        </w:rPr>
      </w:pPr>
      <w:r w:rsidRPr="00215922">
        <w:rPr>
          <w:rFonts w:cstheme="minorHAnsi"/>
          <w:sz w:val="24"/>
          <w:szCs w:val="24"/>
        </w:rPr>
        <w:t>TEIL I</w:t>
      </w:r>
    </w:p>
    <w:p w:rsidR="00926D4F" w:rsidRPr="00215922" w:rsidRDefault="00926D4F" w:rsidP="00926D4F">
      <w:pPr>
        <w:autoSpaceDE w:val="0"/>
        <w:autoSpaceDN w:val="0"/>
        <w:adjustRightInd w:val="0"/>
        <w:spacing w:after="0" w:line="240" w:lineRule="auto"/>
        <w:rPr>
          <w:rFonts w:cstheme="minorHAnsi"/>
          <w:b/>
          <w:bCs/>
          <w:sz w:val="24"/>
          <w:szCs w:val="24"/>
        </w:rPr>
      </w:pPr>
      <w:r w:rsidRPr="00215922">
        <w:rPr>
          <w:rFonts w:cstheme="minorHAnsi"/>
          <w:b/>
          <w:bCs/>
          <w:sz w:val="24"/>
          <w:szCs w:val="24"/>
        </w:rPr>
        <w:t>Künftige Verfassung und Regierung Palästinas</w:t>
      </w:r>
    </w:p>
    <w:p w:rsidR="00926D4F" w:rsidRPr="00215922" w:rsidRDefault="00926D4F" w:rsidP="00926D4F">
      <w:pPr>
        <w:autoSpaceDE w:val="0"/>
        <w:autoSpaceDN w:val="0"/>
        <w:adjustRightInd w:val="0"/>
        <w:spacing w:after="0" w:line="240" w:lineRule="auto"/>
        <w:rPr>
          <w:rFonts w:cstheme="minorHAnsi"/>
          <w:sz w:val="24"/>
          <w:szCs w:val="24"/>
        </w:rPr>
      </w:pPr>
      <w:r w:rsidRPr="00215922">
        <w:rPr>
          <w:rFonts w:cstheme="minorHAnsi"/>
          <w:sz w:val="24"/>
          <w:szCs w:val="24"/>
        </w:rPr>
        <w:t>A. BEENDIGUNG DES MANDATS, TEILUNG UND UNABHÄNGIGKEIT</w:t>
      </w:r>
    </w:p>
    <w:p w:rsidR="00926D4F" w:rsidRPr="00215922" w:rsidRDefault="00926D4F" w:rsidP="00926D4F">
      <w:pPr>
        <w:autoSpaceDE w:val="0"/>
        <w:autoSpaceDN w:val="0"/>
        <w:adjustRightInd w:val="0"/>
        <w:spacing w:after="0" w:line="240" w:lineRule="auto"/>
        <w:rPr>
          <w:rFonts w:cstheme="minorHAnsi"/>
          <w:sz w:val="24"/>
          <w:szCs w:val="24"/>
        </w:rPr>
      </w:pPr>
      <w:r w:rsidRPr="00215922">
        <w:rPr>
          <w:rFonts w:cstheme="minorHAnsi"/>
          <w:sz w:val="24"/>
          <w:szCs w:val="24"/>
        </w:rPr>
        <w:t>1. Das Mandat für Palästina endet so bald wie möglich und in jedem Fall spätestens am 1.</w:t>
      </w:r>
    </w:p>
    <w:p w:rsidR="00926D4F" w:rsidRPr="00215922" w:rsidRDefault="00926D4F" w:rsidP="00926D4F">
      <w:pPr>
        <w:autoSpaceDE w:val="0"/>
        <w:autoSpaceDN w:val="0"/>
        <w:adjustRightInd w:val="0"/>
        <w:spacing w:after="0" w:line="240" w:lineRule="auto"/>
        <w:rPr>
          <w:rFonts w:cstheme="minorHAnsi"/>
          <w:sz w:val="24"/>
          <w:szCs w:val="24"/>
        </w:rPr>
      </w:pPr>
      <w:r w:rsidRPr="00215922">
        <w:rPr>
          <w:rFonts w:cstheme="minorHAnsi"/>
          <w:sz w:val="24"/>
          <w:szCs w:val="24"/>
        </w:rPr>
        <w:t>August 1948.</w:t>
      </w:r>
    </w:p>
    <w:p w:rsidR="00926D4F" w:rsidRPr="00215922" w:rsidRDefault="00926D4F" w:rsidP="00926D4F">
      <w:pPr>
        <w:autoSpaceDE w:val="0"/>
        <w:autoSpaceDN w:val="0"/>
        <w:adjustRightInd w:val="0"/>
        <w:spacing w:after="0" w:line="240" w:lineRule="auto"/>
        <w:rPr>
          <w:rFonts w:cstheme="minorHAnsi"/>
          <w:sz w:val="24"/>
          <w:szCs w:val="24"/>
        </w:rPr>
      </w:pPr>
      <w:r w:rsidRPr="00215922">
        <w:rPr>
          <w:rFonts w:cstheme="minorHAnsi"/>
          <w:sz w:val="24"/>
          <w:szCs w:val="24"/>
        </w:rPr>
        <w:t>2. Die Streitkräfte der Mandatsmacht werden schrittweise aus Palästina abgezogen, wobei</w:t>
      </w:r>
    </w:p>
    <w:p w:rsidR="00926D4F" w:rsidRPr="00215922" w:rsidRDefault="00926D4F" w:rsidP="00926D4F">
      <w:pPr>
        <w:autoSpaceDE w:val="0"/>
        <w:autoSpaceDN w:val="0"/>
        <w:adjustRightInd w:val="0"/>
        <w:spacing w:after="0" w:line="240" w:lineRule="auto"/>
        <w:rPr>
          <w:rFonts w:cstheme="minorHAnsi"/>
          <w:sz w:val="24"/>
          <w:szCs w:val="24"/>
        </w:rPr>
      </w:pPr>
      <w:r w:rsidRPr="00215922">
        <w:rPr>
          <w:rFonts w:cstheme="minorHAnsi"/>
          <w:sz w:val="24"/>
          <w:szCs w:val="24"/>
        </w:rPr>
        <w:t>der Abzug so bald wie möglich abzuschließen ist, in jedem Fall spätestens am 1. August 1948.</w:t>
      </w:r>
    </w:p>
    <w:p w:rsidR="00926D4F" w:rsidRPr="00215922" w:rsidRDefault="00926D4F" w:rsidP="00926D4F">
      <w:pPr>
        <w:autoSpaceDE w:val="0"/>
        <w:autoSpaceDN w:val="0"/>
        <w:adjustRightInd w:val="0"/>
        <w:spacing w:after="0" w:line="240" w:lineRule="auto"/>
        <w:rPr>
          <w:rFonts w:cstheme="minorHAnsi"/>
          <w:sz w:val="24"/>
          <w:szCs w:val="24"/>
        </w:rPr>
      </w:pPr>
      <w:r w:rsidRPr="00215922">
        <w:rPr>
          <w:rFonts w:cstheme="minorHAnsi"/>
          <w:sz w:val="24"/>
          <w:szCs w:val="24"/>
        </w:rPr>
        <w:t>Die Mandatsmacht unterrichtet die Kommission so lange wie möglich im Voraus von ihrer</w:t>
      </w:r>
    </w:p>
    <w:p w:rsidR="00926D4F" w:rsidRPr="00215922" w:rsidRDefault="00926D4F" w:rsidP="00926D4F">
      <w:pPr>
        <w:autoSpaceDE w:val="0"/>
        <w:autoSpaceDN w:val="0"/>
        <w:adjustRightInd w:val="0"/>
        <w:spacing w:after="0" w:line="240" w:lineRule="auto"/>
        <w:rPr>
          <w:rFonts w:cstheme="minorHAnsi"/>
          <w:sz w:val="24"/>
          <w:szCs w:val="24"/>
        </w:rPr>
      </w:pPr>
      <w:r w:rsidRPr="00215922">
        <w:rPr>
          <w:rFonts w:cstheme="minorHAnsi"/>
          <w:sz w:val="24"/>
          <w:szCs w:val="24"/>
        </w:rPr>
        <w:t>Absicht, das Mandat zu beenden und jedes Gebiet zu räumen.</w:t>
      </w:r>
    </w:p>
    <w:p w:rsidR="00926D4F" w:rsidRPr="00215922" w:rsidRDefault="00926D4F" w:rsidP="00926D4F">
      <w:pPr>
        <w:autoSpaceDE w:val="0"/>
        <w:autoSpaceDN w:val="0"/>
        <w:adjustRightInd w:val="0"/>
        <w:spacing w:after="0" w:line="240" w:lineRule="auto"/>
        <w:rPr>
          <w:rFonts w:cstheme="minorHAnsi"/>
          <w:sz w:val="24"/>
          <w:szCs w:val="24"/>
        </w:rPr>
      </w:pPr>
      <w:r w:rsidRPr="00215922">
        <w:rPr>
          <w:rFonts w:cstheme="minorHAnsi"/>
          <w:sz w:val="24"/>
          <w:szCs w:val="24"/>
        </w:rPr>
        <w:t>Die Mandatsmacht tut alles, um sicherzustellen, dass ein in dem Hoheitsgebiet des jüdischen</w:t>
      </w:r>
    </w:p>
    <w:p w:rsidR="00926D4F" w:rsidRPr="00215922" w:rsidRDefault="00926D4F" w:rsidP="00926D4F">
      <w:pPr>
        <w:autoSpaceDE w:val="0"/>
        <w:autoSpaceDN w:val="0"/>
        <w:adjustRightInd w:val="0"/>
        <w:spacing w:after="0" w:line="240" w:lineRule="auto"/>
        <w:rPr>
          <w:rFonts w:cstheme="minorHAnsi"/>
          <w:sz w:val="24"/>
          <w:szCs w:val="24"/>
        </w:rPr>
      </w:pPr>
      <w:r w:rsidRPr="00215922">
        <w:rPr>
          <w:rFonts w:cstheme="minorHAnsi"/>
          <w:sz w:val="24"/>
          <w:szCs w:val="24"/>
        </w:rPr>
        <w:t>Staates gelegenes Gebiet, einschließlich eines Seehafens und eines Hinterlandes mit ausreichenden</w:t>
      </w:r>
    </w:p>
    <w:p w:rsidR="00926D4F" w:rsidRPr="00215922" w:rsidRDefault="00926D4F" w:rsidP="00926D4F">
      <w:pPr>
        <w:autoSpaceDE w:val="0"/>
        <w:autoSpaceDN w:val="0"/>
        <w:adjustRightInd w:val="0"/>
        <w:spacing w:after="0" w:line="240" w:lineRule="auto"/>
        <w:rPr>
          <w:rFonts w:cstheme="minorHAnsi"/>
          <w:sz w:val="24"/>
          <w:szCs w:val="24"/>
        </w:rPr>
      </w:pPr>
      <w:r w:rsidRPr="00215922">
        <w:rPr>
          <w:rFonts w:cstheme="minorHAnsi"/>
          <w:sz w:val="24"/>
          <w:szCs w:val="24"/>
        </w:rPr>
        <w:t>Möglichkeiten für eine beträchtliche Einwanderung, zum frühestmöglichen Zeitpunkt und in jedem Fall spätestens bis zum 1. Februar 1948 geräumt ist.</w:t>
      </w:r>
    </w:p>
    <w:p w:rsidR="00926D4F" w:rsidRPr="00215922" w:rsidRDefault="00926D4F" w:rsidP="00926D4F">
      <w:pPr>
        <w:autoSpaceDE w:val="0"/>
        <w:autoSpaceDN w:val="0"/>
        <w:adjustRightInd w:val="0"/>
        <w:spacing w:after="0" w:line="240" w:lineRule="auto"/>
        <w:rPr>
          <w:rFonts w:cstheme="minorHAnsi"/>
          <w:sz w:val="24"/>
          <w:szCs w:val="24"/>
        </w:rPr>
      </w:pPr>
      <w:r w:rsidRPr="00215922">
        <w:rPr>
          <w:rFonts w:cstheme="minorHAnsi"/>
          <w:sz w:val="24"/>
          <w:szCs w:val="24"/>
        </w:rPr>
        <w:t>3. Zwei Monate nach Abschluss des Abzugs der Streitkräfte der Mandatsmacht, in jedem</w:t>
      </w:r>
    </w:p>
    <w:p w:rsidR="00926D4F" w:rsidRPr="00215922" w:rsidRDefault="00926D4F" w:rsidP="00926D4F">
      <w:pPr>
        <w:autoSpaceDE w:val="0"/>
        <w:autoSpaceDN w:val="0"/>
        <w:adjustRightInd w:val="0"/>
        <w:spacing w:after="0" w:line="240" w:lineRule="auto"/>
        <w:rPr>
          <w:rFonts w:cstheme="minorHAnsi"/>
          <w:sz w:val="24"/>
          <w:szCs w:val="24"/>
        </w:rPr>
      </w:pPr>
      <w:r w:rsidRPr="001E6C28">
        <w:rPr>
          <w:noProof/>
          <w:lang w:eastAsia="de-DE"/>
        </w:rPr>
        <w:drawing>
          <wp:anchor distT="0" distB="0" distL="114300" distR="114300" simplePos="0" relativeHeight="251658240" behindDoc="1" locked="0" layoutInCell="1" allowOverlap="1">
            <wp:simplePos x="0" y="0"/>
            <wp:positionH relativeFrom="column">
              <wp:posOffset>3423920</wp:posOffset>
            </wp:positionH>
            <wp:positionV relativeFrom="paragraph">
              <wp:posOffset>238125</wp:posOffset>
            </wp:positionV>
            <wp:extent cx="2256155" cy="4162425"/>
            <wp:effectExtent l="0" t="0" r="0" b="9525"/>
            <wp:wrapTight wrapText="bothSides">
              <wp:wrapPolygon edited="0">
                <wp:start x="0" y="0"/>
                <wp:lineTo x="0" y="21551"/>
                <wp:lineTo x="21339" y="21551"/>
                <wp:lineTo x="21339" y="0"/>
                <wp:lineTo x="0" y="0"/>
              </wp:wrapPolygon>
            </wp:wrapTight>
            <wp:docPr id="10" name="Grafik 10" descr="https://upload.wikimedia.org/wikipedia/commons/thumb/3/3d/UN_Partition_Plan_For_Palestine_1947_de.svg/615px-UN_Partition_Plan_For_Palestine_1947_d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3/3d/UN_Partition_Plan_For_Palestine_1947_de.svg/615px-UN_Partition_Plan_For_Palestine_1947_d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6155" cy="416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922">
        <w:rPr>
          <w:rFonts w:cstheme="minorHAnsi"/>
          <w:sz w:val="24"/>
          <w:szCs w:val="24"/>
        </w:rPr>
        <w:t>Fall spätestens am 1. Oktober 1948, entstehen in Palästina ein unabhängiger arabischer Staat und ein unabhängiger jüdischer Staat sowie das in Teil III dieses Plans vorgesehene internationale Sonderregime für die Stadt Jerusalem. Die Grenzen des arabischen Staates, des jüdischen Staates und der Stadt Jerusalem sind die in den Teilen II und III beschriebenen Grenzen.</w:t>
      </w:r>
    </w:p>
    <w:p w:rsidR="00926D4F" w:rsidRDefault="001C696E" w:rsidP="00926D4F">
      <w:pPr>
        <w:spacing w:after="0" w:line="240" w:lineRule="auto"/>
        <w:jc w:val="both"/>
      </w:pPr>
      <w:hyperlink r:id="rId10" w:history="1">
        <w:r w:rsidR="00926D4F" w:rsidRPr="00215922">
          <w:rPr>
            <w:rStyle w:val="Hyperlink"/>
            <w:sz w:val="16"/>
            <w:szCs w:val="16"/>
          </w:rPr>
          <w:t>http://www.un.org/depts/german/gv-early/ar181-ii.pd</w:t>
        </w:r>
        <w:r w:rsidR="00926D4F" w:rsidRPr="00952647">
          <w:rPr>
            <w:rStyle w:val="Hyperlink"/>
          </w:rPr>
          <w:t>f</w:t>
        </w:r>
      </w:hyperlink>
    </w:p>
    <w:p w:rsidR="00926D4F" w:rsidRDefault="00926D4F" w:rsidP="00926D4F">
      <w:pPr>
        <w:spacing w:after="0" w:line="240" w:lineRule="auto"/>
        <w:jc w:val="both"/>
        <w:sectPr w:rsidR="00926D4F" w:rsidSect="00926D4F">
          <w:type w:val="continuous"/>
          <w:pgSz w:w="11906" w:h="16838"/>
          <w:pgMar w:top="1418" w:right="1418" w:bottom="1134" w:left="1418" w:header="709" w:footer="709" w:gutter="0"/>
          <w:lnNumType w:countBy="5"/>
          <w:cols w:space="708"/>
          <w:docGrid w:linePitch="360"/>
        </w:sectPr>
      </w:pPr>
    </w:p>
    <w:p w:rsidR="00926D4F" w:rsidRDefault="00926D4F" w:rsidP="00926D4F">
      <w:pPr>
        <w:spacing w:after="0" w:line="240" w:lineRule="auto"/>
        <w:jc w:val="both"/>
        <w:sectPr w:rsidR="00926D4F" w:rsidSect="00926D4F">
          <w:type w:val="continuous"/>
          <w:pgSz w:w="11906" w:h="16838"/>
          <w:pgMar w:top="1418" w:right="1418" w:bottom="1134" w:left="1418" w:header="709" w:footer="709" w:gutter="0"/>
          <w:cols w:space="708"/>
          <w:docGrid w:linePitch="360"/>
        </w:sectPr>
      </w:pPr>
    </w:p>
    <w:p w:rsidR="00926D4F" w:rsidRDefault="00926D4F" w:rsidP="00926D4F">
      <w:pPr>
        <w:spacing w:after="0" w:line="240" w:lineRule="auto"/>
        <w:jc w:val="both"/>
      </w:pPr>
    </w:p>
    <w:p w:rsidR="00926D4F" w:rsidRDefault="00926D4F" w:rsidP="00926D4F">
      <w:pPr>
        <w:rPr>
          <w:b/>
          <w:sz w:val="24"/>
        </w:rPr>
      </w:pPr>
      <w:r w:rsidRPr="008C3721">
        <w:rPr>
          <w:b/>
          <w:sz w:val="24"/>
        </w:rPr>
        <w:t>M</w:t>
      </w:r>
      <w:r>
        <w:rPr>
          <w:b/>
          <w:sz w:val="24"/>
        </w:rPr>
        <w:t xml:space="preserve"> 2</w:t>
      </w:r>
      <w:r w:rsidRPr="008C3721">
        <w:rPr>
          <w:b/>
          <w:sz w:val="24"/>
        </w:rPr>
        <w:t>: Umsetzung UN-Teilungsplan 1947</w:t>
      </w:r>
    </w:p>
    <w:p w:rsidR="00926D4F" w:rsidRDefault="00926D4F" w:rsidP="00926D4F">
      <w:pPr>
        <w:spacing w:after="0" w:line="240" w:lineRule="auto"/>
        <w:rPr>
          <w:sz w:val="24"/>
        </w:rPr>
      </w:pPr>
      <w:r w:rsidRPr="00926D4F">
        <w:rPr>
          <w:sz w:val="24"/>
        </w:rPr>
        <w:t>AA:</w:t>
      </w:r>
    </w:p>
    <w:p w:rsidR="00926D4F" w:rsidRDefault="00926D4F" w:rsidP="00926D4F">
      <w:pPr>
        <w:pStyle w:val="Listenabsatz"/>
        <w:numPr>
          <w:ilvl w:val="0"/>
          <w:numId w:val="4"/>
        </w:numPr>
        <w:rPr>
          <w:sz w:val="24"/>
        </w:rPr>
      </w:pPr>
      <w:r>
        <w:rPr>
          <w:sz w:val="24"/>
        </w:rPr>
        <w:t>Stelle die wesentlichen Punkte des UN-</w:t>
      </w:r>
      <w:r w:rsidR="0058303C">
        <w:rPr>
          <w:sz w:val="24"/>
        </w:rPr>
        <w:t>T</w:t>
      </w:r>
      <w:r>
        <w:rPr>
          <w:sz w:val="24"/>
        </w:rPr>
        <w:t>eilungsplanes dar.</w:t>
      </w:r>
    </w:p>
    <w:p w:rsidR="00926D4F" w:rsidRPr="00926D4F" w:rsidRDefault="00926D4F" w:rsidP="00926D4F">
      <w:pPr>
        <w:pStyle w:val="Listenabsatz"/>
        <w:numPr>
          <w:ilvl w:val="0"/>
          <w:numId w:val="4"/>
        </w:numPr>
        <w:rPr>
          <w:sz w:val="24"/>
        </w:rPr>
      </w:pPr>
      <w:r>
        <w:rPr>
          <w:sz w:val="24"/>
        </w:rPr>
        <w:t>Beurteile, inwieweit Juden und Palästinenser mit dieser Regelung zufrieden sein können.</w:t>
      </w:r>
    </w:p>
    <w:p w:rsidR="00926D4F" w:rsidRPr="00926D4F" w:rsidRDefault="001C696E" w:rsidP="00926D4F">
      <w:pPr>
        <w:rPr>
          <w:noProof/>
          <w:sz w:val="16"/>
          <w:szCs w:val="16"/>
          <w:lang w:eastAsia="de-DE"/>
        </w:rPr>
      </w:pPr>
      <w:hyperlink r:id="rId11" w:anchor="rg/wiki/File:UN_Partition_Plan_For_Palestine_1947_de.svg" w:history="1">
        <w:r w:rsidR="00926D4F" w:rsidRPr="00926D4F">
          <w:rPr>
            <w:rStyle w:val="Hyperlink"/>
            <w:noProof/>
            <w:sz w:val="16"/>
            <w:szCs w:val="16"/>
            <w:lang w:eastAsia="de-DE"/>
          </w:rPr>
          <w:t>https://commons.wikimedia.org/wiki/File:UN_Partition_Plan_For_Palestine_1947_de.svg#/media/File:UN_Partition_Plan_For_Palestine_1947_de.svg</w:t>
        </w:r>
      </w:hyperlink>
    </w:p>
    <w:p w:rsidR="00041FC8" w:rsidRDefault="00041FC8" w:rsidP="00926D4F"/>
    <w:sectPr w:rsidR="00041FC8" w:rsidSect="00926D4F">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96E" w:rsidRDefault="001C696E" w:rsidP="00732915">
      <w:pPr>
        <w:spacing w:after="0" w:line="240" w:lineRule="auto"/>
      </w:pPr>
      <w:r>
        <w:separator/>
      </w:r>
    </w:p>
  </w:endnote>
  <w:endnote w:type="continuationSeparator" w:id="0">
    <w:p w:rsidR="001C696E" w:rsidRDefault="001C696E" w:rsidP="0073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96E" w:rsidRDefault="001C696E" w:rsidP="00732915">
      <w:pPr>
        <w:spacing w:after="0" w:line="240" w:lineRule="auto"/>
      </w:pPr>
      <w:r>
        <w:separator/>
      </w:r>
    </w:p>
  </w:footnote>
  <w:footnote w:type="continuationSeparator" w:id="0">
    <w:p w:rsidR="001C696E" w:rsidRDefault="001C696E" w:rsidP="00732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15" w:rsidRDefault="00732915">
    <w:pPr>
      <w:pStyle w:val="Kopfzeile"/>
    </w:pPr>
    <w:r>
      <w:tab/>
    </w:r>
    <w:r>
      <w:tab/>
      <w:t>0</w:t>
    </w:r>
    <w:r w:rsidR="00926D4F">
      <w:t>4</w:t>
    </w:r>
    <w:r>
      <w:t xml:space="preserve">_ </w:t>
    </w:r>
    <w:r w:rsidR="00926D4F">
      <w:t>UN-teilungsplan</w:t>
    </w:r>
  </w:p>
  <w:p w:rsidR="00732915" w:rsidRDefault="00732915">
    <w:pPr>
      <w:pStyle w:val="Kopfzeile"/>
    </w:pPr>
    <w:r>
      <w:tab/>
    </w:r>
    <w:r>
      <w:tab/>
      <w:t>Datum: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20783"/>
    <w:multiLevelType w:val="hybridMultilevel"/>
    <w:tmpl w:val="A44A3A8C"/>
    <w:lvl w:ilvl="0" w:tplc="6164A86C">
      <w:start w:val="1"/>
      <w:numFmt w:val="decimal"/>
      <w:lvlText w:val="%1."/>
      <w:lvlJc w:val="left"/>
      <w:pPr>
        <w:tabs>
          <w:tab w:val="num" w:pos="720"/>
        </w:tabs>
        <w:ind w:left="720" w:hanging="360"/>
      </w:pPr>
    </w:lvl>
    <w:lvl w:ilvl="1" w:tplc="D3481ED4" w:tentative="1">
      <w:start w:val="1"/>
      <w:numFmt w:val="decimal"/>
      <w:lvlText w:val="%2."/>
      <w:lvlJc w:val="left"/>
      <w:pPr>
        <w:tabs>
          <w:tab w:val="num" w:pos="1440"/>
        </w:tabs>
        <w:ind w:left="1440" w:hanging="360"/>
      </w:pPr>
    </w:lvl>
    <w:lvl w:ilvl="2" w:tplc="26F03958" w:tentative="1">
      <w:start w:val="1"/>
      <w:numFmt w:val="decimal"/>
      <w:lvlText w:val="%3."/>
      <w:lvlJc w:val="left"/>
      <w:pPr>
        <w:tabs>
          <w:tab w:val="num" w:pos="2160"/>
        </w:tabs>
        <w:ind w:left="2160" w:hanging="360"/>
      </w:pPr>
    </w:lvl>
    <w:lvl w:ilvl="3" w:tplc="2E001104" w:tentative="1">
      <w:start w:val="1"/>
      <w:numFmt w:val="decimal"/>
      <w:lvlText w:val="%4."/>
      <w:lvlJc w:val="left"/>
      <w:pPr>
        <w:tabs>
          <w:tab w:val="num" w:pos="2880"/>
        </w:tabs>
        <w:ind w:left="2880" w:hanging="360"/>
      </w:pPr>
    </w:lvl>
    <w:lvl w:ilvl="4" w:tplc="31EEE3F8" w:tentative="1">
      <w:start w:val="1"/>
      <w:numFmt w:val="decimal"/>
      <w:lvlText w:val="%5."/>
      <w:lvlJc w:val="left"/>
      <w:pPr>
        <w:tabs>
          <w:tab w:val="num" w:pos="3600"/>
        </w:tabs>
        <w:ind w:left="3600" w:hanging="360"/>
      </w:pPr>
    </w:lvl>
    <w:lvl w:ilvl="5" w:tplc="2E92DBC8" w:tentative="1">
      <w:start w:val="1"/>
      <w:numFmt w:val="decimal"/>
      <w:lvlText w:val="%6."/>
      <w:lvlJc w:val="left"/>
      <w:pPr>
        <w:tabs>
          <w:tab w:val="num" w:pos="4320"/>
        </w:tabs>
        <w:ind w:left="4320" w:hanging="360"/>
      </w:pPr>
    </w:lvl>
    <w:lvl w:ilvl="6" w:tplc="1DD03288" w:tentative="1">
      <w:start w:val="1"/>
      <w:numFmt w:val="decimal"/>
      <w:lvlText w:val="%7."/>
      <w:lvlJc w:val="left"/>
      <w:pPr>
        <w:tabs>
          <w:tab w:val="num" w:pos="5040"/>
        </w:tabs>
        <w:ind w:left="5040" w:hanging="360"/>
      </w:pPr>
    </w:lvl>
    <w:lvl w:ilvl="7" w:tplc="E892E976" w:tentative="1">
      <w:start w:val="1"/>
      <w:numFmt w:val="decimal"/>
      <w:lvlText w:val="%8."/>
      <w:lvlJc w:val="left"/>
      <w:pPr>
        <w:tabs>
          <w:tab w:val="num" w:pos="5760"/>
        </w:tabs>
        <w:ind w:left="5760" w:hanging="360"/>
      </w:pPr>
    </w:lvl>
    <w:lvl w:ilvl="8" w:tplc="0886476E" w:tentative="1">
      <w:start w:val="1"/>
      <w:numFmt w:val="decimal"/>
      <w:lvlText w:val="%9."/>
      <w:lvlJc w:val="left"/>
      <w:pPr>
        <w:tabs>
          <w:tab w:val="num" w:pos="6480"/>
        </w:tabs>
        <w:ind w:left="6480" w:hanging="360"/>
      </w:pPr>
    </w:lvl>
  </w:abstractNum>
  <w:abstractNum w:abstractNumId="1" w15:restartNumberingAfterBreak="0">
    <w:nsid w:val="3CF831F1"/>
    <w:multiLevelType w:val="hybridMultilevel"/>
    <w:tmpl w:val="6CC67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324B6"/>
    <w:multiLevelType w:val="hybridMultilevel"/>
    <w:tmpl w:val="2266E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6D36B1"/>
    <w:multiLevelType w:val="hybridMultilevel"/>
    <w:tmpl w:val="B76073BE"/>
    <w:lvl w:ilvl="0" w:tplc="C008AB64">
      <w:start w:val="1"/>
      <w:numFmt w:val="decimal"/>
      <w:lvlText w:val="%1."/>
      <w:lvlJc w:val="left"/>
      <w:pPr>
        <w:tabs>
          <w:tab w:val="num" w:pos="720"/>
        </w:tabs>
        <w:ind w:left="720" w:hanging="360"/>
      </w:pPr>
    </w:lvl>
    <w:lvl w:ilvl="1" w:tplc="BBFE7508" w:tentative="1">
      <w:start w:val="1"/>
      <w:numFmt w:val="decimal"/>
      <w:lvlText w:val="%2."/>
      <w:lvlJc w:val="left"/>
      <w:pPr>
        <w:tabs>
          <w:tab w:val="num" w:pos="1440"/>
        </w:tabs>
        <w:ind w:left="1440" w:hanging="360"/>
      </w:pPr>
    </w:lvl>
    <w:lvl w:ilvl="2" w:tplc="352A1004" w:tentative="1">
      <w:start w:val="1"/>
      <w:numFmt w:val="decimal"/>
      <w:lvlText w:val="%3."/>
      <w:lvlJc w:val="left"/>
      <w:pPr>
        <w:tabs>
          <w:tab w:val="num" w:pos="2160"/>
        </w:tabs>
        <w:ind w:left="2160" w:hanging="360"/>
      </w:pPr>
    </w:lvl>
    <w:lvl w:ilvl="3" w:tplc="E5D02392" w:tentative="1">
      <w:start w:val="1"/>
      <w:numFmt w:val="decimal"/>
      <w:lvlText w:val="%4."/>
      <w:lvlJc w:val="left"/>
      <w:pPr>
        <w:tabs>
          <w:tab w:val="num" w:pos="2880"/>
        </w:tabs>
        <w:ind w:left="2880" w:hanging="360"/>
      </w:pPr>
    </w:lvl>
    <w:lvl w:ilvl="4" w:tplc="E9283916" w:tentative="1">
      <w:start w:val="1"/>
      <w:numFmt w:val="decimal"/>
      <w:lvlText w:val="%5."/>
      <w:lvlJc w:val="left"/>
      <w:pPr>
        <w:tabs>
          <w:tab w:val="num" w:pos="3600"/>
        </w:tabs>
        <w:ind w:left="3600" w:hanging="360"/>
      </w:pPr>
    </w:lvl>
    <w:lvl w:ilvl="5" w:tplc="5B704442" w:tentative="1">
      <w:start w:val="1"/>
      <w:numFmt w:val="decimal"/>
      <w:lvlText w:val="%6."/>
      <w:lvlJc w:val="left"/>
      <w:pPr>
        <w:tabs>
          <w:tab w:val="num" w:pos="4320"/>
        </w:tabs>
        <w:ind w:left="4320" w:hanging="360"/>
      </w:pPr>
    </w:lvl>
    <w:lvl w:ilvl="6" w:tplc="1F30E5E6" w:tentative="1">
      <w:start w:val="1"/>
      <w:numFmt w:val="decimal"/>
      <w:lvlText w:val="%7."/>
      <w:lvlJc w:val="left"/>
      <w:pPr>
        <w:tabs>
          <w:tab w:val="num" w:pos="5040"/>
        </w:tabs>
        <w:ind w:left="5040" w:hanging="360"/>
      </w:pPr>
    </w:lvl>
    <w:lvl w:ilvl="7" w:tplc="64742EA6" w:tentative="1">
      <w:start w:val="1"/>
      <w:numFmt w:val="decimal"/>
      <w:lvlText w:val="%8."/>
      <w:lvlJc w:val="left"/>
      <w:pPr>
        <w:tabs>
          <w:tab w:val="num" w:pos="5760"/>
        </w:tabs>
        <w:ind w:left="5760" w:hanging="360"/>
      </w:pPr>
    </w:lvl>
    <w:lvl w:ilvl="8" w:tplc="DD8CDB2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4F"/>
    <w:rsid w:val="00041FC8"/>
    <w:rsid w:val="001C696E"/>
    <w:rsid w:val="0058303C"/>
    <w:rsid w:val="0071678F"/>
    <w:rsid w:val="00732915"/>
    <w:rsid w:val="007530DD"/>
    <w:rsid w:val="007A20FE"/>
    <w:rsid w:val="008A27DB"/>
    <w:rsid w:val="00926D4F"/>
    <w:rsid w:val="00B25E12"/>
    <w:rsid w:val="00B85D4F"/>
    <w:rsid w:val="00BF2810"/>
    <w:rsid w:val="00D25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076CB-154F-45B1-8AF7-5EA401F9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67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1FC8"/>
    <w:pPr>
      <w:ind w:left="720"/>
      <w:contextualSpacing/>
    </w:pPr>
  </w:style>
  <w:style w:type="paragraph" w:styleId="Funotentext">
    <w:name w:val="footnote text"/>
    <w:basedOn w:val="Standard"/>
    <w:link w:val="FunotentextZchn"/>
    <w:uiPriority w:val="99"/>
    <w:semiHidden/>
    <w:unhideWhenUsed/>
    <w:rsid w:val="0073291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32915"/>
    <w:rPr>
      <w:sz w:val="20"/>
      <w:szCs w:val="20"/>
    </w:rPr>
  </w:style>
  <w:style w:type="character" w:styleId="Funotenzeichen">
    <w:name w:val="footnote reference"/>
    <w:basedOn w:val="Absatz-Standardschriftart"/>
    <w:uiPriority w:val="99"/>
    <w:semiHidden/>
    <w:unhideWhenUsed/>
    <w:rsid w:val="00732915"/>
    <w:rPr>
      <w:vertAlign w:val="superscript"/>
    </w:rPr>
  </w:style>
  <w:style w:type="paragraph" w:styleId="Kopfzeile">
    <w:name w:val="header"/>
    <w:basedOn w:val="Standard"/>
    <w:link w:val="KopfzeileZchn"/>
    <w:uiPriority w:val="99"/>
    <w:unhideWhenUsed/>
    <w:rsid w:val="00732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915"/>
  </w:style>
  <w:style w:type="paragraph" w:styleId="Fuzeile">
    <w:name w:val="footer"/>
    <w:basedOn w:val="Standard"/>
    <w:link w:val="FuzeileZchn"/>
    <w:uiPriority w:val="99"/>
    <w:unhideWhenUsed/>
    <w:rsid w:val="00732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915"/>
  </w:style>
  <w:style w:type="character" w:styleId="Zeilennummer">
    <w:name w:val="line number"/>
    <w:basedOn w:val="Absatz-Standardschriftart"/>
    <w:uiPriority w:val="99"/>
    <w:semiHidden/>
    <w:unhideWhenUsed/>
    <w:rsid w:val="00732915"/>
  </w:style>
  <w:style w:type="character" w:styleId="Hyperlink">
    <w:name w:val="Hyperlink"/>
    <w:basedOn w:val="Absatz-Standardschriftart"/>
    <w:uiPriority w:val="99"/>
    <w:unhideWhenUsed/>
    <w:rsid w:val="00926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75402">
      <w:bodyDiv w:val="1"/>
      <w:marLeft w:val="0"/>
      <w:marRight w:val="0"/>
      <w:marTop w:val="0"/>
      <w:marBottom w:val="0"/>
      <w:divBdr>
        <w:top w:val="none" w:sz="0" w:space="0" w:color="auto"/>
        <w:left w:val="none" w:sz="0" w:space="0" w:color="auto"/>
        <w:bottom w:val="none" w:sz="0" w:space="0" w:color="auto"/>
        <w:right w:val="none" w:sz="0" w:space="0" w:color="auto"/>
      </w:divBdr>
      <w:divsChild>
        <w:div w:id="741172152">
          <w:marLeft w:val="792"/>
          <w:marRight w:val="0"/>
          <w:marTop w:val="360"/>
          <w:marBottom w:val="0"/>
          <w:divBdr>
            <w:top w:val="none" w:sz="0" w:space="0" w:color="auto"/>
            <w:left w:val="none" w:sz="0" w:space="0" w:color="auto"/>
            <w:bottom w:val="none" w:sz="0" w:space="0" w:color="auto"/>
            <w:right w:val="none" w:sz="0" w:space="0" w:color="auto"/>
          </w:divBdr>
        </w:div>
      </w:divsChild>
    </w:div>
    <w:div w:id="1311208820">
      <w:bodyDiv w:val="1"/>
      <w:marLeft w:val="0"/>
      <w:marRight w:val="0"/>
      <w:marTop w:val="0"/>
      <w:marBottom w:val="0"/>
      <w:divBdr>
        <w:top w:val="none" w:sz="0" w:space="0" w:color="auto"/>
        <w:left w:val="none" w:sz="0" w:space="0" w:color="auto"/>
        <w:bottom w:val="none" w:sz="0" w:space="0" w:color="auto"/>
        <w:right w:val="none" w:sz="0" w:space="0" w:color="auto"/>
      </w:divBdr>
      <w:divsChild>
        <w:div w:id="2034379000">
          <w:marLeft w:val="79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 TargetMode="External"/><Relationship Id="rId5" Type="http://schemas.openxmlformats.org/officeDocument/2006/relationships/webSettings" Target="webSettings.xml"/><Relationship Id="rId10" Type="http://schemas.openxmlformats.org/officeDocument/2006/relationships/hyperlink" Target="http://www.un.org/depts/german/gv-early/ar181-ii.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2207BFB-5012-4CCC-A0B2-42544805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Aragon</dc:creator>
  <cp:lastModifiedBy>Annette</cp:lastModifiedBy>
  <cp:revision>2</cp:revision>
  <cp:lastPrinted>2017-04-24T07:00:00Z</cp:lastPrinted>
  <dcterms:created xsi:type="dcterms:W3CDTF">2017-09-30T14:38:00Z</dcterms:created>
  <dcterms:modified xsi:type="dcterms:W3CDTF">2017-09-30T14:38:00Z</dcterms:modified>
</cp:coreProperties>
</file>