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AB01" w14:textId="4A342D80" w:rsidR="001F53A2" w:rsidRPr="006A1D8C" w:rsidRDefault="001F53A2" w:rsidP="001F53A2">
      <w:pPr>
        <w:shd w:val="clear" w:color="auto" w:fill="D9D9D9" w:themeFill="background1" w:themeFillShade="D9"/>
        <w:ind w:right="-6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t>Kolonialismus - mehr als ein Herrschaftsphänomen</w:t>
      </w:r>
    </w:p>
    <w:p w14:paraId="6CFA1DDA" w14:textId="77777777" w:rsidR="001F53A2" w:rsidRPr="00361669" w:rsidRDefault="001F53A2" w:rsidP="001F53A2">
      <w:pPr>
        <w:rPr>
          <w:rFonts w:ascii="Arial Narrow" w:hAnsi="Arial Narrow"/>
        </w:rPr>
      </w:pPr>
    </w:p>
    <w:p w14:paraId="525821E4" w14:textId="4A5B1E71" w:rsidR="001F53A2" w:rsidRDefault="001F53A2" w:rsidP="001F53A2">
      <w:pPr>
        <w:rPr>
          <w:rFonts w:ascii="Arial Narrow" w:hAnsi="Arial Narrow"/>
        </w:rPr>
      </w:pPr>
    </w:p>
    <w:p w14:paraId="24ABA3BA" w14:textId="6A4A7313" w:rsidR="003930C0" w:rsidRPr="003930C0" w:rsidRDefault="003930C0" w:rsidP="001F53A2">
      <w:pPr>
        <w:rPr>
          <w:rFonts w:ascii="Arial Narrow" w:hAnsi="Arial Narrow"/>
          <w:b/>
        </w:rPr>
      </w:pPr>
      <w:r w:rsidRPr="003930C0">
        <w:rPr>
          <w:rFonts w:ascii="Arial Narrow" w:hAnsi="Arial Narrow"/>
          <w:b/>
        </w:rPr>
        <w:t>1. Bilder</w:t>
      </w:r>
    </w:p>
    <w:p w14:paraId="21DF902F" w14:textId="77777777" w:rsidR="003930C0" w:rsidRDefault="003930C0" w:rsidP="001F53A2">
      <w:pPr>
        <w:rPr>
          <w:rFonts w:ascii="Arial Narrow" w:hAnsi="Arial Narrow"/>
        </w:rPr>
      </w:pPr>
    </w:p>
    <w:p w14:paraId="1430E05B" w14:textId="1B7F1D49" w:rsidR="001F53A2" w:rsidRPr="00AA4727" w:rsidRDefault="001F53A2" w:rsidP="001F53A2">
      <w:pPr>
        <w:pStyle w:val="block"/>
        <w:spacing w:before="0" w:beforeAutospacing="0" w:after="0" w:afterAutospacing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Bilder, die die unterschiedlichen „Dimensionen“ von Kolonialismus zum Ausdruck bringen, z. B. aus: </w:t>
      </w:r>
    </w:p>
    <w:p w14:paraId="6E4BAEA4" w14:textId="77777777" w:rsidR="001F53A2" w:rsidRDefault="001F53A2" w:rsidP="001F53A2">
      <w:pPr>
        <w:ind w:left="284"/>
        <w:rPr>
          <w:rFonts w:ascii="Arial Narrow" w:hAnsi="Arial Narrow"/>
          <w:szCs w:val="16"/>
        </w:rPr>
      </w:pPr>
    </w:p>
    <w:p w14:paraId="70A0E7D2" w14:textId="2520D277" w:rsidR="001F53A2" w:rsidRDefault="001F53A2" w:rsidP="001F53A2">
      <w:pPr>
        <w:ind w:left="284"/>
        <w:rPr>
          <w:rFonts w:ascii="Arial Narrow" w:hAnsi="Arial Narrow"/>
          <w:szCs w:val="16"/>
        </w:rPr>
      </w:pPr>
      <w:r w:rsidRPr="001F53A2">
        <w:rPr>
          <w:rFonts w:ascii="Arial Narrow" w:hAnsi="Arial Narrow"/>
          <w:szCs w:val="16"/>
        </w:rPr>
        <w:t>Informationen zur politischen Bildung 338, 3/2018: Europa zwischen Kolonialismus und Dekolonisierung</w:t>
      </w:r>
      <w:r>
        <w:rPr>
          <w:rFonts w:ascii="Arial Narrow" w:hAnsi="Arial Narrow"/>
          <w:szCs w:val="16"/>
        </w:rPr>
        <w:t xml:space="preserve"> – </w:t>
      </w:r>
      <w:r w:rsidR="005F2773" w:rsidRPr="005F2773">
        <w:rPr>
          <w:rFonts w:ascii="Arial Narrow" w:hAnsi="Arial Narrow"/>
          <w:b/>
          <w:szCs w:val="16"/>
          <w:highlight w:val="lightGray"/>
        </w:rPr>
        <w:t xml:space="preserve">Heft </w:t>
      </w:r>
      <w:r w:rsidRPr="005F2773">
        <w:rPr>
          <w:rFonts w:ascii="Arial Narrow" w:hAnsi="Arial Narrow"/>
          <w:b/>
          <w:szCs w:val="16"/>
          <w:highlight w:val="lightGray"/>
        </w:rPr>
        <w:t xml:space="preserve">kostenlos online als </w:t>
      </w:r>
      <w:proofErr w:type="spellStart"/>
      <w:r w:rsidRPr="005F2773">
        <w:rPr>
          <w:rFonts w:ascii="Arial Narrow" w:hAnsi="Arial Narrow"/>
          <w:b/>
          <w:szCs w:val="16"/>
          <w:highlight w:val="lightGray"/>
        </w:rPr>
        <w:t>pdf</w:t>
      </w:r>
      <w:proofErr w:type="spellEnd"/>
      <w:r w:rsidRPr="005F2773">
        <w:rPr>
          <w:rFonts w:ascii="Arial Narrow" w:hAnsi="Arial Narrow"/>
          <w:b/>
          <w:szCs w:val="16"/>
          <w:highlight w:val="lightGray"/>
        </w:rPr>
        <w:t xml:space="preserve"> erhältlich</w:t>
      </w:r>
      <w:r>
        <w:rPr>
          <w:rFonts w:ascii="Arial Narrow" w:hAnsi="Arial Narrow"/>
          <w:szCs w:val="16"/>
        </w:rPr>
        <w:t>:</w:t>
      </w:r>
    </w:p>
    <w:p w14:paraId="3E0A3D14" w14:textId="29D5F285" w:rsidR="001F53A2" w:rsidRDefault="001F53A2" w:rsidP="001F53A2">
      <w:pPr>
        <w:ind w:left="284"/>
        <w:rPr>
          <w:rFonts w:ascii="Arial Narrow" w:hAnsi="Arial Narrow"/>
        </w:rPr>
      </w:pPr>
    </w:p>
    <w:p w14:paraId="0FC5B262" w14:textId="1AC578D1" w:rsidR="001F53A2" w:rsidRDefault="001F53A2" w:rsidP="001F53A2">
      <w:pPr>
        <w:ind w:left="284"/>
        <w:rPr>
          <w:rFonts w:ascii="Arial Narrow" w:hAnsi="Arial Narrow"/>
        </w:rPr>
      </w:pPr>
      <w:r w:rsidRPr="001F53A2">
        <w:rPr>
          <w:rFonts w:ascii="Arial Narrow" w:hAnsi="Arial Narrow"/>
        </w:rPr>
        <w:t>https://www.bpb.de/shop/zeitschriften/informationen-zur-politischen-bildung/280690/europa-zwischen-kolonialismus-und-dekolonisierung</w:t>
      </w:r>
    </w:p>
    <w:p w14:paraId="24B8A040" w14:textId="59E8852D" w:rsidR="001F53A2" w:rsidRDefault="001F53A2" w:rsidP="001F53A2">
      <w:pPr>
        <w:ind w:left="284"/>
        <w:rPr>
          <w:rFonts w:ascii="Arial Narrow" w:hAnsi="Arial Narrow"/>
        </w:rPr>
      </w:pPr>
    </w:p>
    <w:p w14:paraId="4849E597" w14:textId="1F510FFF" w:rsidR="001F53A2" w:rsidRDefault="003930C0" w:rsidP="001F53A2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Exemplarische </w:t>
      </w:r>
      <w:r w:rsidR="001F53A2">
        <w:rPr>
          <w:rFonts w:ascii="Arial Narrow" w:hAnsi="Arial Narrow"/>
        </w:rPr>
        <w:t>Bildimpulse aus dem Heft</w:t>
      </w:r>
    </w:p>
    <w:p w14:paraId="25201426" w14:textId="77777777" w:rsidR="001F53A2" w:rsidRDefault="001F53A2" w:rsidP="00F30CBB">
      <w:pPr>
        <w:rPr>
          <w:rFonts w:ascii="Arial Narrow" w:hAnsi="Arial Narrow"/>
        </w:rPr>
      </w:pPr>
    </w:p>
    <w:p w14:paraId="441FB9E8" w14:textId="0D770D88" w:rsidR="007B7454" w:rsidRPr="003930C0" w:rsidRDefault="001F53A2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Kaffee als Modegetränk der wohlhabenden Oberschichten im 17. Jh. (S. 7)</w:t>
      </w:r>
    </w:p>
    <w:p w14:paraId="35152E45" w14:textId="77777777" w:rsidR="00AB1BF4" w:rsidRPr="005F2773" w:rsidRDefault="00AB1BF4" w:rsidP="003930C0">
      <w:pPr>
        <w:ind w:left="284" w:right="-6"/>
        <w:rPr>
          <w:rFonts w:ascii="Arial Narrow" w:hAnsi="Arial Narrow"/>
          <w:sz w:val="20"/>
        </w:rPr>
      </w:pPr>
    </w:p>
    <w:p w14:paraId="7875CF25" w14:textId="77777777" w:rsidR="001F53A2" w:rsidRPr="003930C0" w:rsidRDefault="001F53A2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Siedler in Südafrika (S. 7)</w:t>
      </w:r>
      <w:bookmarkStart w:id="0" w:name="_GoBack"/>
      <w:bookmarkEnd w:id="0"/>
    </w:p>
    <w:p w14:paraId="2F8EE06F" w14:textId="77777777" w:rsidR="001F53A2" w:rsidRPr="005F2773" w:rsidRDefault="001F53A2" w:rsidP="003930C0">
      <w:pPr>
        <w:ind w:left="284" w:right="-6"/>
        <w:rPr>
          <w:rFonts w:ascii="Arial Narrow" w:hAnsi="Arial Narrow"/>
          <w:sz w:val="20"/>
        </w:rPr>
      </w:pPr>
    </w:p>
    <w:p w14:paraId="3E654A21" w14:textId="77777777" w:rsidR="001F53A2" w:rsidRPr="003930C0" w:rsidRDefault="001F53A2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Sklaven auf einer Zuckerrohrplantage (S. 10)</w:t>
      </w:r>
    </w:p>
    <w:p w14:paraId="110DE2C2" w14:textId="77777777" w:rsidR="001F53A2" w:rsidRPr="005F2773" w:rsidRDefault="001F53A2" w:rsidP="003930C0">
      <w:pPr>
        <w:ind w:left="284" w:right="-6"/>
        <w:rPr>
          <w:rFonts w:ascii="Arial Narrow" w:hAnsi="Arial Narrow"/>
          <w:sz w:val="20"/>
        </w:rPr>
      </w:pPr>
    </w:p>
    <w:p w14:paraId="6973AB93" w14:textId="77777777" w:rsidR="001F53A2" w:rsidRPr="003930C0" w:rsidRDefault="001F53A2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Anthropologische Forschung zu Existenz und Hierarchie von Rassen (S. 16)</w:t>
      </w:r>
    </w:p>
    <w:p w14:paraId="6F6260B4" w14:textId="77777777" w:rsidR="001F53A2" w:rsidRPr="005F2773" w:rsidRDefault="001F53A2" w:rsidP="003930C0">
      <w:pPr>
        <w:ind w:left="284" w:right="-6"/>
        <w:rPr>
          <w:rFonts w:ascii="Arial Narrow" w:hAnsi="Arial Narrow"/>
          <w:sz w:val="20"/>
        </w:rPr>
      </w:pPr>
    </w:p>
    <w:p w14:paraId="32241504" w14:textId="77777777" w:rsidR="001F53A2" w:rsidRPr="003930C0" w:rsidRDefault="001F53A2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Erleichterte Handelswege  durch den Suez-Kanal  (S. 21)</w:t>
      </w:r>
    </w:p>
    <w:p w14:paraId="198C424F" w14:textId="77777777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45C8588E" w14:textId="77777777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Anfänge der Ölförderung im heutigen Iran (S. 21)</w:t>
      </w:r>
    </w:p>
    <w:p w14:paraId="62973D4D" w14:textId="77777777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34E95BB2" w14:textId="77777777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Edeka: Kolonialwaren auch für die breitere Bevölkerung (S.  22)</w:t>
      </w:r>
    </w:p>
    <w:p w14:paraId="0B3250CB" w14:textId="77777777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720DBF51" w14:textId="77777777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Verkehrsnetze auch in Asien und Afrika, bspw. in Dakar, Senegal (S. 25)</w:t>
      </w:r>
    </w:p>
    <w:p w14:paraId="630737A5" w14:textId="77777777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6D95A547" w14:textId="77777777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Modernisierung bzw. „</w:t>
      </w:r>
      <w:proofErr w:type="spellStart"/>
      <w:r w:rsidRPr="003930C0">
        <w:rPr>
          <w:rFonts w:ascii="Arial Narrow" w:hAnsi="Arial Narrow"/>
        </w:rPr>
        <w:t>Inwertsetzung</w:t>
      </w:r>
      <w:proofErr w:type="spellEnd"/>
      <w:r w:rsidRPr="003930C0">
        <w:rPr>
          <w:rFonts w:ascii="Arial Narrow" w:hAnsi="Arial Narrow"/>
        </w:rPr>
        <w:t>“ der Kolonien (S. 32)</w:t>
      </w:r>
    </w:p>
    <w:p w14:paraId="10E6DEE1" w14:textId="77777777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16C3BD7D" w14:textId="64059EA0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Vorgebliche Zivilisierungsmission, bspw. eine  Missionsschule in Windhuk, Namibia (S. 50)</w:t>
      </w:r>
    </w:p>
    <w:p w14:paraId="46A35922" w14:textId="039F549B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127D7D54" w14:textId="77989944" w:rsidR="003930C0" w:rsidRPr="003930C0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„Völkerschauen“ und Kolonialausstellungen in Europa (S. 55/56)</w:t>
      </w:r>
    </w:p>
    <w:p w14:paraId="343CB246" w14:textId="179008EA" w:rsidR="003930C0" w:rsidRPr="005F2773" w:rsidRDefault="003930C0" w:rsidP="003930C0">
      <w:pPr>
        <w:ind w:left="284" w:right="-6"/>
        <w:rPr>
          <w:rFonts w:ascii="Arial Narrow" w:hAnsi="Arial Narrow"/>
          <w:sz w:val="20"/>
        </w:rPr>
      </w:pPr>
    </w:p>
    <w:p w14:paraId="5C7A76AB" w14:textId="03DF77CA" w:rsidR="00B20B34" w:rsidRDefault="003930C0" w:rsidP="003930C0">
      <w:pPr>
        <w:pStyle w:val="Listenabsatz"/>
        <w:numPr>
          <w:ilvl w:val="0"/>
          <w:numId w:val="2"/>
        </w:num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Arbeitskräfte und Soldaten aus den Kolonien bleiben in Europa (S. 5)</w:t>
      </w:r>
    </w:p>
    <w:p w14:paraId="2B8152B9" w14:textId="77777777" w:rsidR="003930C0" w:rsidRPr="005F2773" w:rsidRDefault="003930C0" w:rsidP="005F2773">
      <w:pPr>
        <w:rPr>
          <w:rFonts w:ascii="Arial Narrow" w:hAnsi="Arial Narrow"/>
        </w:rPr>
      </w:pPr>
    </w:p>
    <w:p w14:paraId="2F93B6D4" w14:textId="2C7CA5D0" w:rsidR="003930C0" w:rsidRDefault="003930C0" w:rsidP="003930C0">
      <w:pPr>
        <w:ind w:right="-6"/>
        <w:rPr>
          <w:rFonts w:ascii="Arial Narrow" w:hAnsi="Arial Narrow"/>
        </w:rPr>
      </w:pPr>
    </w:p>
    <w:p w14:paraId="44F1E04C" w14:textId="01DFD4D9" w:rsidR="005F2773" w:rsidRDefault="005F2773" w:rsidP="003930C0">
      <w:pPr>
        <w:ind w:right="-6"/>
        <w:rPr>
          <w:rFonts w:ascii="Arial Narrow" w:hAnsi="Arial Narrow"/>
        </w:rPr>
      </w:pPr>
    </w:p>
    <w:p w14:paraId="02F52CBA" w14:textId="77777777" w:rsidR="005F2773" w:rsidRDefault="005F2773" w:rsidP="003930C0">
      <w:pPr>
        <w:ind w:right="-6"/>
        <w:rPr>
          <w:rFonts w:ascii="Arial Narrow" w:hAnsi="Arial Narrow"/>
        </w:rPr>
      </w:pPr>
    </w:p>
    <w:p w14:paraId="30306C59" w14:textId="26A247A5" w:rsidR="003930C0" w:rsidRPr="003930C0" w:rsidRDefault="003930C0" w:rsidP="003930C0">
      <w:pPr>
        <w:ind w:right="-6"/>
        <w:rPr>
          <w:rFonts w:ascii="Arial Narrow" w:hAnsi="Arial Narrow"/>
          <w:b/>
        </w:rPr>
      </w:pPr>
      <w:r w:rsidRPr="003930C0">
        <w:rPr>
          <w:rFonts w:ascii="Arial Narrow" w:hAnsi="Arial Narrow"/>
          <w:b/>
        </w:rPr>
        <w:t>2. Historikertext zum Abgleich</w:t>
      </w:r>
    </w:p>
    <w:p w14:paraId="4C4F2217" w14:textId="70AA1277" w:rsidR="003930C0" w:rsidRDefault="003930C0" w:rsidP="003930C0">
      <w:pPr>
        <w:ind w:right="-6"/>
        <w:rPr>
          <w:rFonts w:ascii="Arial Narrow" w:hAnsi="Arial Narrow"/>
        </w:rPr>
      </w:pPr>
    </w:p>
    <w:p w14:paraId="479350F9" w14:textId="01E56432" w:rsidR="003930C0" w:rsidRPr="003930C0" w:rsidRDefault="003930C0" w:rsidP="003930C0">
      <w:p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>„Seit der zweiten Hälfte des 19. Jahrhunderts […]</w:t>
      </w:r>
    </w:p>
    <w:p w14:paraId="58418C28" w14:textId="65AACB00" w:rsidR="003930C0" w:rsidRPr="003930C0" w:rsidRDefault="003930C0" w:rsidP="003930C0">
      <w:pPr>
        <w:ind w:right="-6"/>
        <w:rPr>
          <w:rFonts w:ascii="Arial Narrow" w:hAnsi="Arial Narrow"/>
        </w:rPr>
      </w:pPr>
    </w:p>
    <w:p w14:paraId="643AA221" w14:textId="5D46B77C" w:rsidR="003930C0" w:rsidRPr="003930C0" w:rsidRDefault="003930C0" w:rsidP="003930C0">
      <w:pPr>
        <w:ind w:right="-6"/>
        <w:rPr>
          <w:rFonts w:ascii="Arial Narrow" w:hAnsi="Arial Narrow"/>
        </w:rPr>
      </w:pPr>
      <w:r w:rsidRPr="003930C0">
        <w:rPr>
          <w:rFonts w:ascii="Arial Narrow" w:hAnsi="Arial Narrow"/>
        </w:rPr>
        <w:t xml:space="preserve">[…] </w:t>
      </w:r>
      <w:r w:rsidRPr="003930C0">
        <w:rPr>
          <w:rFonts w:ascii="Arial Narrow" w:hAnsi="Arial Narrow"/>
        </w:rPr>
        <w:t>innerhalb derer sich viele grenzüberschreitende Austauschprozesse abspielten.“</w:t>
      </w:r>
    </w:p>
    <w:p w14:paraId="4FDEB2F1" w14:textId="77777777" w:rsidR="003930C0" w:rsidRDefault="003930C0" w:rsidP="003930C0">
      <w:pPr>
        <w:ind w:left="350"/>
        <w:rPr>
          <w:rFonts w:ascii="Arial Narrow" w:hAnsi="Arial Narrow"/>
          <w:b/>
          <w:highlight w:val="lightGray"/>
        </w:rPr>
      </w:pPr>
    </w:p>
    <w:p w14:paraId="6AC650ED" w14:textId="59849F43" w:rsidR="003930C0" w:rsidRPr="00AA4727" w:rsidRDefault="003930C0" w:rsidP="003930C0">
      <w:pPr>
        <w:ind w:left="350"/>
        <w:rPr>
          <w:rFonts w:ascii="Arial Narrow" w:hAnsi="Arial Narrow"/>
          <w:b/>
        </w:rPr>
      </w:pPr>
      <w:r w:rsidRPr="00AA4727">
        <w:rPr>
          <w:rFonts w:ascii="Arial Narrow" w:hAnsi="Arial Narrow"/>
          <w:b/>
          <w:highlight w:val="lightGray"/>
        </w:rPr>
        <w:t xml:space="preserve">Text </w:t>
      </w:r>
      <w:r>
        <w:rPr>
          <w:rFonts w:ascii="Arial Narrow" w:hAnsi="Arial Narrow"/>
          <w:b/>
          <w:highlight w:val="lightGray"/>
        </w:rPr>
        <w:t>abruf</w:t>
      </w:r>
      <w:r w:rsidRPr="00AA4727">
        <w:rPr>
          <w:rFonts w:ascii="Arial Narrow" w:hAnsi="Arial Narrow"/>
          <w:b/>
          <w:highlight w:val="lightGray"/>
        </w:rPr>
        <w:t>bar über:</w:t>
      </w:r>
    </w:p>
    <w:p w14:paraId="551B8371" w14:textId="77777777" w:rsidR="003930C0" w:rsidRPr="00810E1D" w:rsidRDefault="003930C0" w:rsidP="003930C0">
      <w:pPr>
        <w:rPr>
          <w:rFonts w:ascii="Arial Narrow" w:hAnsi="Arial Narrow"/>
          <w:sz w:val="22"/>
        </w:rPr>
      </w:pPr>
    </w:p>
    <w:p w14:paraId="1B8E5CE5" w14:textId="77777777" w:rsidR="003930C0" w:rsidRPr="00810E1D" w:rsidRDefault="003930C0" w:rsidP="003930C0">
      <w:pPr>
        <w:ind w:left="350"/>
        <w:rPr>
          <w:rFonts w:ascii="Arial Narrow" w:hAnsi="Arial Narrow"/>
          <w:sz w:val="22"/>
        </w:rPr>
      </w:pPr>
      <w:r w:rsidRPr="00810E1D">
        <w:rPr>
          <w:rFonts w:ascii="Arial Narrow" w:hAnsi="Arial Narrow"/>
          <w:sz w:val="22"/>
        </w:rPr>
        <w:t>https://www.bpb.de/apuz/146971/kolonialismus-und-postkolonialismus</w:t>
      </w:r>
    </w:p>
    <w:p w14:paraId="11C058DF" w14:textId="77777777" w:rsidR="003930C0" w:rsidRDefault="003930C0" w:rsidP="003930C0">
      <w:pPr>
        <w:ind w:right="-6"/>
        <w:rPr>
          <w:rFonts w:ascii="Arial Narrow" w:hAnsi="Arial Narrow"/>
        </w:rPr>
      </w:pPr>
    </w:p>
    <w:p w14:paraId="11E5026C" w14:textId="50D99F55" w:rsidR="003930C0" w:rsidRPr="005F2773" w:rsidRDefault="003930C0" w:rsidP="003930C0">
      <w:pPr>
        <w:ind w:right="-6"/>
        <w:rPr>
          <w:rFonts w:ascii="Arial Narrow" w:hAnsi="Arial Narrow"/>
          <w:sz w:val="20"/>
        </w:rPr>
      </w:pPr>
      <w:r w:rsidRPr="005F2773">
        <w:rPr>
          <w:rFonts w:ascii="Arial Narrow" w:hAnsi="Arial Narrow"/>
          <w:sz w:val="16"/>
          <w:szCs w:val="21"/>
        </w:rPr>
        <w:t xml:space="preserve">(Conrad, S.: Kolonialismus und Postkolonialismus: Schlüsselbegriffe der aktuellen Debatte, in: </w:t>
      </w:r>
      <w:proofErr w:type="spellStart"/>
      <w:r w:rsidRPr="005F2773">
        <w:rPr>
          <w:rFonts w:ascii="Arial Narrow" w:hAnsi="Arial Narrow"/>
          <w:sz w:val="16"/>
          <w:szCs w:val="21"/>
        </w:rPr>
        <w:t>APuZ</w:t>
      </w:r>
      <w:proofErr w:type="spellEnd"/>
      <w:r w:rsidRPr="005F2773">
        <w:rPr>
          <w:rFonts w:ascii="Arial Narrow" w:hAnsi="Arial Narrow"/>
          <w:sz w:val="16"/>
          <w:szCs w:val="21"/>
        </w:rPr>
        <w:t xml:space="preserve"> 44-45/2012</w:t>
      </w:r>
      <w:r w:rsidRPr="005F2773">
        <w:rPr>
          <w:rFonts w:ascii="Arial Narrow" w:hAnsi="Arial Narrow"/>
          <w:sz w:val="16"/>
          <w:szCs w:val="21"/>
        </w:rPr>
        <w:t>, S. 5)</w:t>
      </w:r>
    </w:p>
    <w:sectPr w:rsidR="003930C0" w:rsidRPr="005F2773" w:rsidSect="003930C0">
      <w:pgSz w:w="11900" w:h="16840"/>
      <w:pgMar w:top="917" w:right="1417" w:bottom="137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eSerif 4-Semi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20"/>
    <w:multiLevelType w:val="hybridMultilevel"/>
    <w:tmpl w:val="30E057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043B"/>
    <w:multiLevelType w:val="hybridMultilevel"/>
    <w:tmpl w:val="07582CE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BC"/>
    <w:rsid w:val="0000186C"/>
    <w:rsid w:val="0000261F"/>
    <w:rsid w:val="000E2F49"/>
    <w:rsid w:val="00133300"/>
    <w:rsid w:val="00141ABC"/>
    <w:rsid w:val="00142A9E"/>
    <w:rsid w:val="001A5E2B"/>
    <w:rsid w:val="001F53A2"/>
    <w:rsid w:val="001F6F59"/>
    <w:rsid w:val="0022478B"/>
    <w:rsid w:val="002537EF"/>
    <w:rsid w:val="00266A6A"/>
    <w:rsid w:val="002A56FE"/>
    <w:rsid w:val="002E070E"/>
    <w:rsid w:val="002E5F80"/>
    <w:rsid w:val="003167BB"/>
    <w:rsid w:val="0033112B"/>
    <w:rsid w:val="00351C55"/>
    <w:rsid w:val="003930C0"/>
    <w:rsid w:val="003D5057"/>
    <w:rsid w:val="00427E16"/>
    <w:rsid w:val="004502BD"/>
    <w:rsid w:val="00494F56"/>
    <w:rsid w:val="004B595D"/>
    <w:rsid w:val="005149BA"/>
    <w:rsid w:val="005724DE"/>
    <w:rsid w:val="005C1E74"/>
    <w:rsid w:val="005E194E"/>
    <w:rsid w:val="005F2773"/>
    <w:rsid w:val="00634EF4"/>
    <w:rsid w:val="00727045"/>
    <w:rsid w:val="007B7454"/>
    <w:rsid w:val="00851497"/>
    <w:rsid w:val="008B3094"/>
    <w:rsid w:val="00924E33"/>
    <w:rsid w:val="009D71F8"/>
    <w:rsid w:val="00A070F5"/>
    <w:rsid w:val="00A13527"/>
    <w:rsid w:val="00AB1BF4"/>
    <w:rsid w:val="00AF6B5D"/>
    <w:rsid w:val="00B07CCB"/>
    <w:rsid w:val="00B20B34"/>
    <w:rsid w:val="00BB3E51"/>
    <w:rsid w:val="00BB51FF"/>
    <w:rsid w:val="00C87731"/>
    <w:rsid w:val="00D6658D"/>
    <w:rsid w:val="00D93C6C"/>
    <w:rsid w:val="00E72ADB"/>
    <w:rsid w:val="00E75554"/>
    <w:rsid w:val="00EF4499"/>
    <w:rsid w:val="00F30CBB"/>
    <w:rsid w:val="00F33A15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69B8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CB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1A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lock">
    <w:name w:val="block"/>
    <w:basedOn w:val="Standard"/>
    <w:rsid w:val="00141ABC"/>
    <w:pPr>
      <w:spacing w:before="100" w:beforeAutospacing="1" w:after="100" w:afterAutospacing="1"/>
    </w:pPr>
  </w:style>
  <w:style w:type="paragraph" w:customStyle="1" w:styleId="Pa7">
    <w:name w:val="Pa7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paragraph" w:customStyle="1" w:styleId="Pa8">
    <w:name w:val="Pa8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paragraph" w:customStyle="1" w:styleId="Default">
    <w:name w:val="Default"/>
    <w:rsid w:val="003167BB"/>
    <w:pPr>
      <w:autoSpaceDE w:val="0"/>
      <w:autoSpaceDN w:val="0"/>
      <w:adjustRightInd w:val="0"/>
    </w:pPr>
    <w:rPr>
      <w:rFonts w:ascii="TheSerif 4-SemiLight" w:hAnsi="TheSerif 4-SemiLight" w:cs="TheSerif 4-SemiLigh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F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F4"/>
    <w:rPr>
      <w:rFonts w:ascii="Lucida Grande" w:eastAsia="Times New Roman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17</cp:revision>
  <cp:lastPrinted>2019-04-27T03:55:00Z</cp:lastPrinted>
  <dcterms:created xsi:type="dcterms:W3CDTF">2019-01-29T17:53:00Z</dcterms:created>
  <dcterms:modified xsi:type="dcterms:W3CDTF">2020-03-12T13:56:00Z</dcterms:modified>
</cp:coreProperties>
</file>