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61"/>
        <w:gridCol w:w="4820"/>
      </w:tblGrid>
      <w:tr w:rsidR="0000065C" w:rsidRPr="00D70E3F" w:rsidTr="00B84572">
        <w:tc>
          <w:tcPr>
            <w:tcW w:w="14719" w:type="dxa"/>
            <w:gridSpan w:val="3"/>
            <w:shd w:val="clear" w:color="auto" w:fill="D9D9D9"/>
          </w:tcPr>
          <w:p w:rsidR="0000065C" w:rsidRPr="00D70E3F" w:rsidRDefault="0000065C" w:rsidP="00447292">
            <w:pPr>
              <w:suppressAutoHyphens/>
              <w:rPr>
                <w:rFonts w:ascii="Calibri" w:eastAsia="Calibri" w:hAnsi="Calibri" w:cs="Calibri"/>
              </w:rPr>
            </w:pPr>
            <w:r w:rsidRPr="00D70E3F">
              <w:rPr>
                <w:rFonts w:ascii="Calibri" w:eastAsia="Calibri" w:hAnsi="Calibri" w:cs="Calibri"/>
              </w:rPr>
              <w:br w:type="page"/>
            </w:r>
            <w:r w:rsidR="00F40B99">
              <w:rPr>
                <w:rFonts w:ascii="Calibri" w:eastAsia="Calibri" w:hAnsi="Calibri" w:cs="Calibri"/>
                <w:b/>
                <w:bCs/>
              </w:rPr>
              <w:t>3</w:t>
            </w:r>
            <w:r w:rsidRPr="00D70E3F">
              <w:rPr>
                <w:rFonts w:ascii="Calibri" w:eastAsia="Calibri" w:hAnsi="Calibri" w:cs="Calibri"/>
                <w:b/>
                <w:bCs/>
              </w:rPr>
              <w:t xml:space="preserve">. Unterrichtssequenz: </w:t>
            </w:r>
            <w:r w:rsidR="0025527E">
              <w:rPr>
                <w:rFonts w:ascii="Calibri" w:eastAsia="Calibri" w:hAnsi="Calibri" w:cs="Calibri"/>
                <w:b/>
                <w:bCs/>
              </w:rPr>
              <w:t>Verantwortung übernehmen in der globalisierten, religionspluralen Welt</w:t>
            </w:r>
            <w:r w:rsidRPr="00D70E3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FD44AA" w:rsidRDefault="0000065C" w:rsidP="00447292">
            <w:pPr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D44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Curriculare Begründung: </w:t>
            </w:r>
            <w:r w:rsidR="00526F83" w:rsidRPr="00FD44AA">
              <w:rPr>
                <w:rFonts w:ascii="Calibri" w:eastAsia="Calibri" w:hAnsi="Calibri" w:cs="Calibri"/>
                <w:bCs/>
                <w:sz w:val="20"/>
                <w:szCs w:val="20"/>
              </w:rPr>
              <w:t>Während</w:t>
            </w:r>
            <w:r w:rsidR="00526F8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in den ersten beiden Unterrichtssequenzen eher </w:t>
            </w:r>
            <w:r w:rsidR="0057251D">
              <w:rPr>
                <w:rFonts w:ascii="Calibri" w:eastAsia="Calibri" w:hAnsi="Calibri" w:cs="Calibri"/>
                <w:sz w:val="20"/>
                <w:szCs w:val="20"/>
              </w:rPr>
              <w:t>die</w:t>
            </w:r>
            <w:r w:rsidR="00526F8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Glauben</w:t>
            </w:r>
            <w:r w:rsidR="0057251D">
              <w:rPr>
                <w:rFonts w:ascii="Calibri" w:eastAsia="Calibri" w:hAnsi="Calibri" w:cs="Calibri"/>
                <w:sz w:val="20"/>
                <w:szCs w:val="20"/>
              </w:rPr>
              <w:t>sgrundlagen</w:t>
            </w:r>
            <w:r w:rsidR="00526F8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in den Blick genommen wurde</w:t>
            </w:r>
            <w:r w:rsidR="0057251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26F8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, ergibt sich nun die Frage nach den lebensweltlichen Konsequenzen. Ein verantwortungsvoller Glaube ist nicht losgelöst von einer globalisierten und pluralistischen Welt zu denken. Er impliziert zweierlei: erstens die Frage, wie gutes, verantwortungsvolles Handeln </w:t>
            </w:r>
            <w:r w:rsidR="0057251D">
              <w:rPr>
                <w:rFonts w:ascii="Calibri" w:eastAsia="Calibri" w:hAnsi="Calibri" w:cs="Calibri"/>
                <w:sz w:val="20"/>
                <w:szCs w:val="20"/>
              </w:rPr>
              <w:t xml:space="preserve">aus christlicher Perspektive </w:t>
            </w:r>
            <w:r w:rsidR="00526F8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aussehen könnte. Zweitens: </w:t>
            </w:r>
            <w:r w:rsidR="0057251D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FD44AA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ie der Glaube </w:t>
            </w:r>
            <w:r w:rsidR="0057251D">
              <w:rPr>
                <w:rFonts w:ascii="Calibri" w:eastAsia="Calibri" w:hAnsi="Calibri" w:cs="Calibri"/>
                <w:sz w:val="20"/>
                <w:szCs w:val="20"/>
              </w:rPr>
              <w:t xml:space="preserve">angemessen </w:t>
            </w:r>
            <w:r w:rsidR="00FD44AA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institutionalisiert werden könne und ob </w:t>
            </w:r>
            <w:r w:rsidR="001F16EE">
              <w:rPr>
                <w:rFonts w:ascii="Calibri" w:eastAsia="Calibri" w:hAnsi="Calibri" w:cs="Calibri"/>
                <w:sz w:val="20"/>
                <w:szCs w:val="20"/>
              </w:rPr>
              <w:t xml:space="preserve">Kirche </w:t>
            </w:r>
            <w:r w:rsidR="00FD44AA" w:rsidRPr="00FD44AA">
              <w:rPr>
                <w:rFonts w:ascii="Calibri" w:eastAsia="Calibri" w:hAnsi="Calibri" w:cs="Calibri"/>
                <w:sz w:val="20"/>
                <w:szCs w:val="20"/>
              </w:rPr>
              <w:t>ihrem Auftrag gerecht w</w:t>
            </w:r>
            <w:r w:rsidR="001F16EE">
              <w:rPr>
                <w:rFonts w:ascii="Calibri" w:eastAsia="Calibri" w:hAnsi="Calibri" w:cs="Calibri"/>
                <w:sz w:val="20"/>
                <w:szCs w:val="20"/>
              </w:rPr>
              <w:t>ird</w:t>
            </w:r>
            <w:r w:rsidR="00FD44AA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00065C" w:rsidRPr="00FD44AA" w:rsidRDefault="00B07BAA" w:rsidP="00447292">
            <w:pPr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Aufbaulogik der</w:t>
            </w:r>
            <w:r w:rsidR="0000065C" w:rsidRPr="00FD44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Unterrichtssequenz:</w:t>
            </w:r>
            <w:r w:rsidR="005D3C9D" w:rsidRPr="00FD44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5D3C9D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Menschliches Leben </w:t>
            </w:r>
            <w:r w:rsidR="006E2B5C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in christlicher </w:t>
            </w:r>
            <w:r w:rsidR="00F617F6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(und philosophischer) </w:t>
            </w:r>
            <w:r w:rsidR="006E2B5C" w:rsidRPr="00FD44AA">
              <w:rPr>
                <w:rFonts w:ascii="Calibri" w:eastAsia="Calibri" w:hAnsi="Calibri" w:cs="Calibri"/>
                <w:sz w:val="20"/>
                <w:szCs w:val="20"/>
              </w:rPr>
              <w:t>Perspektive</w:t>
            </w:r>
            <w:r w:rsidR="00696A5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vollzieh</w:t>
            </w:r>
            <w:r w:rsidR="006E2B5C" w:rsidRPr="00FD44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96A5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sich zwischen den beiden Polen </w:t>
            </w:r>
            <w:r w:rsidR="00696A53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Freiheit</w:t>
            </w:r>
            <w:r w:rsidR="00696A53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und </w:t>
            </w:r>
            <w:r w:rsidR="00696A53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Verantwortung</w:t>
            </w:r>
            <w:r w:rsidR="00696A53" w:rsidRPr="00FD44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54A91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4A91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Ökonomisierung</w:t>
            </w:r>
            <w:r w:rsidR="00354A91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und </w:t>
            </w:r>
            <w:r w:rsidR="00354A91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Globalisierung</w:t>
            </w:r>
            <w:r w:rsidR="00354A91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stellen </w:t>
            </w:r>
            <w:r w:rsidR="00254E9F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dabei </w:t>
            </w:r>
            <w:r w:rsidR="00354A91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eine </w:t>
            </w:r>
            <w:r w:rsidR="00254E9F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besondere </w:t>
            </w:r>
            <w:r w:rsidR="00354A91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Herausforderung </w:t>
            </w:r>
            <w:r w:rsidR="00254E9F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dar. Eng verbunden damit </w:t>
            </w:r>
            <w:r w:rsidR="006E2B5C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ist </w:t>
            </w:r>
            <w:r w:rsidR="00254E9F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die Frage nach der </w:t>
            </w:r>
            <w:r w:rsidR="00254E9F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Gerechtigkeit</w:t>
            </w:r>
            <w:r w:rsidR="006E2B5C" w:rsidRPr="00FD44AA">
              <w:rPr>
                <w:rFonts w:ascii="Calibri" w:eastAsia="Calibri" w:hAnsi="Calibri" w:cs="Calibri"/>
                <w:sz w:val="20"/>
                <w:szCs w:val="20"/>
              </w:rPr>
              <w:t>, die nach christlichem Verständnis in biblischen Vorstellungen begründet ist.</w:t>
            </w:r>
            <w:r w:rsidR="00254E9F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05AE9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Die Konfliktfelder Ökonomisierung und Globalisierung sowie die darin enthaltene Frage nach der Gerechtigkeit fordern zu ethischen Entscheidungen heraus, die </w:t>
            </w:r>
            <w:r w:rsidR="00905AE9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deontologisch</w:t>
            </w:r>
            <w:r w:rsidR="00905AE9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oder </w:t>
            </w:r>
            <w:r w:rsidR="00905AE9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teleologisch</w:t>
            </w:r>
            <w:r w:rsidR="00905AE9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begründet werden können.</w:t>
            </w:r>
            <w:r w:rsidR="00F617F6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504EE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Nicht nur die oder der Einzelne, sondern die Gesellschaft als Ganze ist vor solche Entscheidungen gestellt. Dies gilt auch für eine </w:t>
            </w:r>
            <w:r w:rsidR="00D504EE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Kirche</w:t>
            </w:r>
            <w:r w:rsidR="00D504EE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, die </w:t>
            </w:r>
            <w:r w:rsidR="00BA0786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nach ihrem Selbstverständnis die christliche Perspektive in unserer Gesellschaft verkörpert und </w:t>
            </w:r>
            <w:r w:rsidR="00D504EE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sich </w:t>
            </w:r>
            <w:r w:rsidR="00BA0786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zugleich </w:t>
            </w:r>
            <w:r w:rsidR="00D504EE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als Teil dieser Gesellschaft versteht. Exemplarisch wird dies an der </w:t>
            </w:r>
            <w:r w:rsidR="00D504EE" w:rsidRPr="00604529">
              <w:rPr>
                <w:rFonts w:ascii="Calibri" w:eastAsia="Calibri" w:hAnsi="Calibri" w:cs="Calibri"/>
                <w:b/>
                <w:sz w:val="20"/>
                <w:szCs w:val="20"/>
              </w:rPr>
              <w:t>Problemstellung „arm und reich“</w:t>
            </w:r>
            <w:r w:rsidR="00D504EE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deutlich, mit der sich die Kirche im Laufe ihrer Geschichte immer wieder auseinandergesetzt hat</w:t>
            </w:r>
            <w:r w:rsidR="00BA0786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4382A" w:rsidRPr="00FD44AA">
              <w:rPr>
                <w:rFonts w:ascii="Calibri" w:eastAsia="Calibri" w:hAnsi="Calibri" w:cs="Calibri"/>
                <w:sz w:val="20"/>
                <w:szCs w:val="20"/>
              </w:rPr>
              <w:t>Heute</w:t>
            </w:r>
            <w:r w:rsidR="00BA0786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 stellt sich </w:t>
            </w:r>
            <w:r w:rsidR="0064382A" w:rsidRPr="00FD44AA">
              <w:rPr>
                <w:rFonts w:ascii="Calibri" w:eastAsia="Calibri" w:hAnsi="Calibri" w:cs="Calibri"/>
                <w:sz w:val="20"/>
                <w:szCs w:val="20"/>
              </w:rPr>
              <w:t xml:space="preserve">darüber hinaus </w:t>
            </w:r>
            <w:r w:rsidR="00BA0786" w:rsidRPr="00FD44AA">
              <w:rPr>
                <w:rFonts w:ascii="Calibri" w:eastAsia="Calibri" w:hAnsi="Calibri" w:cs="Calibri"/>
                <w:sz w:val="20"/>
                <w:szCs w:val="20"/>
              </w:rPr>
              <w:t>die Frage, ob die Kirche in ihrem gesellschaftlichen und politischen Handeln ihrem eigenen Anspruch gerecht wird und wie eine Kirche zwischen den Polen Freiheit und Verantwortung zukunftsfähig zu verbleiben vermag.</w:t>
            </w:r>
          </w:p>
          <w:p w:rsidR="0000065C" w:rsidRPr="00D70E3F" w:rsidRDefault="0000065C" w:rsidP="00447292">
            <w:pPr>
              <w:numPr>
                <w:ilvl w:val="0"/>
                <w:numId w:val="2"/>
              </w:numPr>
              <w:suppressAutoHyphens/>
              <w:rPr>
                <w:rFonts w:ascii="Calibri" w:eastAsia="Calibri" w:hAnsi="Calibri" w:cs="Calibri"/>
              </w:rPr>
            </w:pPr>
            <w:r w:rsidRPr="00D70E3F">
              <w:rPr>
                <w:rFonts w:ascii="Calibri" w:eastAsia="Calibri" w:hAnsi="Calibri" w:cs="Calibri"/>
                <w:sz w:val="20"/>
                <w:szCs w:val="20"/>
              </w:rPr>
              <w:t xml:space="preserve">Applikation von </w:t>
            </w:r>
            <w:r w:rsidRPr="00D70E3F">
              <w:rPr>
                <w:rFonts w:ascii="Calibri" w:eastAsia="Calibri" w:hAnsi="Calibri" w:cs="Calibri"/>
                <w:b/>
                <w:sz w:val="20"/>
                <w:szCs w:val="20"/>
              </w:rPr>
              <w:t>prozessbezogenen Kompetenzen:</w:t>
            </w:r>
            <w:r w:rsidR="00D165BE">
              <w:rPr>
                <w:rFonts w:ascii="Calibri" w:eastAsia="Calibri" w:hAnsi="Calibri" w:cs="Calibri"/>
                <w:sz w:val="20"/>
                <w:szCs w:val="20"/>
              </w:rPr>
              <w:t xml:space="preserve"> 2.1.4 in ethischen Herausforderungen mögliche religiös bedeutsame Entscheidungssituationen identifizieren (</w:t>
            </w:r>
            <w:proofErr w:type="spellStart"/>
            <w:r w:rsidR="00D165BE">
              <w:rPr>
                <w:rFonts w:ascii="Calibri" w:eastAsia="Calibri" w:hAnsi="Calibri" w:cs="Calibri"/>
                <w:sz w:val="20"/>
                <w:szCs w:val="20"/>
              </w:rPr>
              <w:t>Wahrnehmungs</w:t>
            </w:r>
            <w:proofErr w:type="spellEnd"/>
            <w:r w:rsidR="00D165BE">
              <w:rPr>
                <w:rFonts w:ascii="Calibri" w:eastAsia="Calibri" w:hAnsi="Calibri" w:cs="Calibri"/>
                <w:sz w:val="20"/>
                <w:szCs w:val="20"/>
              </w:rPr>
              <w:t xml:space="preserve"> – und Darstellungsfähigkeit), 2.3.6 Modelle ethischer Urteilsbildung bewerten und sie beispielhaft anwenden (Urteilsfähigkeit), 2.4.3 sich aus der Perspektive des christlichen Glaubens mit anderen religiösen und nichtreligiösen Überzeugungen auseinandersetzen (Dialogfähigkeit).</w:t>
            </w:r>
          </w:p>
        </w:tc>
      </w:tr>
      <w:tr w:rsidR="0000065C" w:rsidRPr="00D70E3F" w:rsidTr="00B84572">
        <w:tc>
          <w:tcPr>
            <w:tcW w:w="4938" w:type="dxa"/>
            <w:shd w:val="clear" w:color="auto" w:fill="auto"/>
          </w:tcPr>
          <w:p w:rsidR="0000065C" w:rsidRPr="00D70E3F" w:rsidRDefault="0000065C" w:rsidP="00447292">
            <w:pPr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D70E3F">
              <w:rPr>
                <w:rFonts w:ascii="Calibri" w:eastAsia="Calibri" w:hAnsi="Calibri" w:cs="Calibri"/>
                <w:b/>
                <w:bCs/>
              </w:rPr>
              <w:t>Inhaltsbezogene Kompetenzen</w:t>
            </w:r>
            <w:r w:rsidR="00B94DCF" w:rsidRPr="00D70E3F">
              <w:rPr>
                <w:rStyle w:val="Funotenzeichen"/>
                <w:rFonts w:ascii="Calibri" w:eastAsia="Calibri" w:hAnsi="Calibri" w:cs="Calibri"/>
                <w:b/>
                <w:bCs/>
              </w:rPr>
              <w:footnoteReference w:id="1"/>
            </w:r>
          </w:p>
        </w:tc>
        <w:tc>
          <w:tcPr>
            <w:tcW w:w="4961" w:type="dxa"/>
            <w:shd w:val="clear" w:color="auto" w:fill="auto"/>
          </w:tcPr>
          <w:p w:rsidR="0000065C" w:rsidRPr="00D70E3F" w:rsidRDefault="0000065C" w:rsidP="00447292">
            <w:pPr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D70E3F">
              <w:rPr>
                <w:rFonts w:ascii="Calibri" w:eastAsia="Calibri" w:hAnsi="Calibri" w:cs="Calibri"/>
                <w:b/>
                <w:bCs/>
              </w:rPr>
              <w:t>Didaktische Struktur</w:t>
            </w:r>
          </w:p>
        </w:tc>
        <w:tc>
          <w:tcPr>
            <w:tcW w:w="4820" w:type="dxa"/>
            <w:shd w:val="clear" w:color="auto" w:fill="auto"/>
          </w:tcPr>
          <w:p w:rsidR="0000065C" w:rsidRPr="00D70E3F" w:rsidRDefault="0000065C" w:rsidP="00447292">
            <w:pPr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D70E3F">
              <w:rPr>
                <w:rFonts w:ascii="Calibri" w:eastAsia="Calibri" w:hAnsi="Calibri" w:cs="Calibri"/>
                <w:b/>
                <w:bCs/>
              </w:rPr>
              <w:t xml:space="preserve">Unterrichtsideen und Materialien </w:t>
            </w:r>
          </w:p>
          <w:p w:rsidR="0000065C" w:rsidRPr="00D70E3F" w:rsidRDefault="0000065C" w:rsidP="00447292">
            <w:pPr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D70E3F">
              <w:rPr>
                <w:rFonts w:ascii="Calibri" w:eastAsia="Calibri" w:hAnsi="Calibri" w:cs="Calibri"/>
                <w:b/>
                <w:bCs/>
              </w:rPr>
              <w:t>Bibeltexte und Fachbegriffe</w:t>
            </w:r>
            <w:r w:rsidRPr="00D70E3F">
              <w:rPr>
                <w:rStyle w:val="Funotenzeichen"/>
                <w:rFonts w:ascii="Calibri" w:eastAsia="Calibri" w:hAnsi="Calibri" w:cs="Calibri"/>
                <w:b/>
                <w:bCs/>
              </w:rPr>
              <w:footnoteReference w:id="2"/>
            </w:r>
          </w:p>
        </w:tc>
      </w:tr>
      <w:tr w:rsidR="00604529" w:rsidRPr="00604529" w:rsidTr="00B84572">
        <w:tc>
          <w:tcPr>
            <w:tcW w:w="4938" w:type="dxa"/>
            <w:shd w:val="clear" w:color="auto" w:fill="auto"/>
          </w:tcPr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3.5.1 (2)</w:t>
            </w:r>
            <w:r w:rsidR="00791A49">
              <w:rPr>
                <w:rFonts w:asciiTheme="minorHAnsi" w:hAnsiTheme="minorHAnsi" w:cstheme="minorHAnsi"/>
                <w:sz w:val="20"/>
                <w:szCs w:val="20"/>
              </w:rPr>
              <w:t xml:space="preserve"> [3.4.1 (2)]</w:t>
            </w:r>
            <w:r w:rsidR="00791A49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 das Verständnis von Freiheit und Verantwortung in christlicher Perspektive (</w:t>
            </w:r>
            <w:r w:rsidRPr="001F16EE">
              <w:rPr>
                <w:rFonts w:asciiTheme="minorHAnsi" w:hAnsiTheme="minorHAnsi" w:cstheme="minorHAnsi"/>
                <w:b/>
                <w:sz w:val="20"/>
                <w:szCs w:val="20"/>
              </w:rPr>
              <w:t>Geschöpflichkeit</w:t>
            </w:r>
            <w:r w:rsidRPr="00C014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57251D">
              <w:rPr>
                <w:rFonts w:asciiTheme="minorHAnsi" w:hAnsiTheme="minorHAnsi" w:cstheme="minorHAnsi"/>
                <w:b/>
                <w:sz w:val="20"/>
                <w:szCs w:val="20"/>
              </w:rPr>
              <w:t>Rechtfertigung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) zu einer anderen Sichtweise (</w:t>
            </w:r>
            <w:r w:rsidRPr="00C01446">
              <w:rPr>
                <w:rFonts w:asciiTheme="minorHAnsi" w:hAnsiTheme="minorHAnsi" w:cstheme="minorHAnsi"/>
                <w:b/>
                <w:sz w:val="20"/>
                <w:szCs w:val="20"/>
              </w:rPr>
              <w:t>A. Camus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) in Beziehung setzen</w:t>
            </w:r>
          </w:p>
          <w:p w:rsidR="00604529" w:rsidRPr="00604529" w:rsidRDefault="00604529" w:rsidP="00447292">
            <w:pPr>
              <w:suppressAutoHyphens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04529" w:rsidRPr="00604529" w:rsidRDefault="00604529" w:rsidP="00447292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b/>
                <w:sz w:val="20"/>
                <w:szCs w:val="20"/>
              </w:rPr>
              <w:t>Grenzenlos frei?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Was bedeuten Freiheit und Verantwortung in der persönlichen Lebenswirklichkeit der Schülerinnen und Schüler?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Worauf gründen Freiheit und Verantwortung im christlichen Verständnis?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In welchem Verhältnis steht dazu das Verständnis A. Camus?</w:t>
            </w:r>
          </w:p>
          <w:p w:rsidR="00604529" w:rsidRPr="00604529" w:rsidRDefault="00604529" w:rsidP="00447292">
            <w:pPr>
              <w:suppressAutoHyphens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815F4" w:rsidRPr="009815F4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A3.1 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>Ich bin so frei</w:t>
            </w:r>
          </w:p>
          <w:p w:rsidR="009815F4" w:rsidRPr="009815F4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5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A3.2 </w:t>
            </w:r>
            <w:r w:rsidRPr="009815F4">
              <w:rPr>
                <w:rFonts w:asciiTheme="minorHAnsi" w:eastAsia="Calibri" w:hAnsiTheme="minorHAnsi" w:cstheme="minorHAnsi"/>
                <w:sz w:val="20"/>
                <w:szCs w:val="20"/>
              </w:rPr>
              <w:t>Was ist Freiheit?</w:t>
            </w:r>
          </w:p>
          <w:p w:rsidR="009815F4" w:rsidRPr="009815F4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815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A3.3</w:t>
            </w:r>
            <w:proofErr w:type="spellEnd"/>
            <w:r w:rsidRPr="009815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815F4">
              <w:rPr>
                <w:rFonts w:asciiTheme="minorHAnsi" w:eastAsia="Calibri" w:hAnsiTheme="minorHAnsi" w:cstheme="minorHAnsi"/>
                <w:sz w:val="20"/>
                <w:szCs w:val="20"/>
              </w:rPr>
              <w:t>Das Wollen wollen?</w:t>
            </w:r>
          </w:p>
          <w:p w:rsidR="009815F4" w:rsidRPr="009815F4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5F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A3.4</w:t>
            </w:r>
            <w:r w:rsidRPr="009815F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Was ist Verantwortung? 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A3.5 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>Freiheit und Verantwortung bei Albert Camus</w:t>
            </w:r>
          </w:p>
          <w:p w:rsidR="009815F4" w:rsidRPr="00500679" w:rsidRDefault="009815F4" w:rsidP="00447292">
            <w:pPr>
              <w:suppressAutoHyphens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  <w:p w:rsidR="00604529" w:rsidRPr="00500679" w:rsidRDefault="00910C05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Bibeltexte: </w:t>
            </w:r>
            <w:proofErr w:type="spellStart"/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Ps</w:t>
            </w:r>
            <w:proofErr w:type="spellEnd"/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8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>Ps</w:t>
            </w:r>
            <w:proofErr w:type="spellEnd"/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139, 1-18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(Gott kennt mich)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>; Gal 3, 26-28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(Gleichheit in Christus)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; </w:t>
            </w:r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Gal 5, 1.13-15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(Berufung zur Freiheit)</w:t>
            </w:r>
          </w:p>
          <w:p w:rsidR="00604529" w:rsidRPr="00500679" w:rsidRDefault="00604529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04529" w:rsidRPr="00604529" w:rsidRDefault="00910C05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Fachbegriffe: </w:t>
            </w:r>
            <w:r w:rsidR="00604529"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Freiheit eines Christenmenschen, </w:t>
            </w:r>
            <w:r w:rsidR="00604529" w:rsidRPr="00C0144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Ebenbild Gottes, Rechtfertigung</w:t>
            </w:r>
            <w:r w:rsidR="003B5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(</w:t>
            </w:r>
            <w:r w:rsidR="00604529" w:rsidRPr="00C0144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Zuspruch und Anspruch</w:t>
            </w:r>
            <w:r w:rsidR="003B5C9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), </w:t>
            </w:r>
            <w:r w:rsidR="00604529"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>Heteronomie, Autonomie</w:t>
            </w:r>
          </w:p>
          <w:p w:rsidR="00604529" w:rsidRPr="00604529" w:rsidRDefault="00604529" w:rsidP="00447292">
            <w:pPr>
              <w:suppressAutoHyphens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604529" w:rsidRPr="00604529" w:rsidTr="00B84572">
        <w:tc>
          <w:tcPr>
            <w:tcW w:w="4938" w:type="dxa"/>
            <w:shd w:val="clear" w:color="auto" w:fill="auto"/>
          </w:tcPr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="00B00A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00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 (2) </w:t>
            </w:r>
            <w:r w:rsidR="00791A49">
              <w:rPr>
                <w:rFonts w:asciiTheme="minorHAnsi" w:hAnsiTheme="minorHAnsi" w:cstheme="minorHAnsi"/>
                <w:sz w:val="20"/>
                <w:szCs w:val="20"/>
              </w:rPr>
              <w:t xml:space="preserve">[3.4.2 (2)] 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anhand der ethischen Konfliktfelder </w:t>
            </w:r>
            <w:r w:rsidRPr="00791A49">
              <w:rPr>
                <w:rFonts w:asciiTheme="minorHAnsi" w:hAnsiTheme="minorHAnsi" w:cstheme="minorHAnsi"/>
                <w:b/>
                <w:sz w:val="20"/>
                <w:szCs w:val="20"/>
              </w:rPr>
              <w:t>Ökonomisierung und Globalisierung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 biblische Gerechtigkeitsvorstellungen entfalten</w:t>
            </w:r>
          </w:p>
          <w:p w:rsidR="00604529" w:rsidRPr="00A71114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4529" w:rsidRPr="00236B32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36B3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3.5.2 (3) </w:t>
            </w:r>
            <w:r w:rsidR="00791A4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[3.4.2 (3)] </w:t>
            </w:r>
            <w:r w:rsidRPr="00236B32">
              <w:rPr>
                <w:rFonts w:asciiTheme="minorHAnsi" w:hAnsiTheme="minorHAnsi" w:cstheme="minorHAnsi"/>
                <w:iCs/>
                <w:sz w:val="20"/>
                <w:szCs w:val="20"/>
              </w:rPr>
              <w:t>zwei ethische Argumentationsmodelle (</w:t>
            </w:r>
            <w:r w:rsidRPr="00791A4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deontologische und teleologische Ethik</w:t>
            </w:r>
            <w:r w:rsidRPr="00236B32">
              <w:rPr>
                <w:rFonts w:asciiTheme="minorHAnsi" w:hAnsiTheme="minorHAnsi" w:cstheme="minorHAnsi"/>
                <w:iCs/>
                <w:sz w:val="20"/>
                <w:szCs w:val="20"/>
              </w:rPr>
              <w:t>) überprüfen</w:t>
            </w:r>
            <w:r w:rsidR="00791A4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[erörtern]</w:t>
            </w:r>
            <w:r w:rsidR="00791A49">
              <w:rPr>
                <w:rStyle w:val="Funotenzeichen"/>
                <w:rFonts w:asciiTheme="minorHAnsi" w:hAnsiTheme="minorHAnsi" w:cstheme="minorHAnsi"/>
                <w:iCs/>
                <w:sz w:val="20"/>
                <w:szCs w:val="20"/>
              </w:rPr>
              <w:footnoteReference w:id="4"/>
            </w:r>
          </w:p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04529" w:rsidRPr="00604529" w:rsidRDefault="00604529" w:rsidP="00447292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b/>
                <w:sz w:val="20"/>
                <w:szCs w:val="20"/>
              </w:rPr>
              <w:t>Gerechtigkeit für jeden weltweit?</w:t>
            </w:r>
          </w:p>
          <w:p w:rsidR="001F16EE" w:rsidRDefault="001F16EE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45B4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ist biblische Gerechtigkeit?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In welcher Hinsicht stellen Ökonomisierung und Globalisierung Herausforderungen für die biblischen Vorstellungen von Gerechtigkeit dar?</w:t>
            </w:r>
          </w:p>
          <w:p w:rsidR="00604529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Wie tragfähig sind das deontologische und das teleologische Argumentationsmodell im Kontext der ethischen Konfliktfelder Ökonomisierung und Globalisierung?</w:t>
            </w:r>
          </w:p>
          <w:p w:rsidR="00604529" w:rsidRDefault="00A71114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Menschenwürde und Menschenrechte – gilt die Globalisierung auch für sie?</w:t>
            </w:r>
          </w:p>
          <w:p w:rsidR="00500679" w:rsidRPr="00A71114" w:rsidRDefault="0050067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C64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Möglicher Exkurs:</w:t>
            </w:r>
            <w:r w:rsidRPr="00CC64E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Christliche Ethik im Vergleich zu deontologischen und teleologischen Ethiken </w:t>
            </w:r>
          </w:p>
        </w:tc>
        <w:tc>
          <w:tcPr>
            <w:tcW w:w="4820" w:type="dxa"/>
            <w:shd w:val="clear" w:color="auto" w:fill="auto"/>
          </w:tcPr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Hlk22162550"/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A3.6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Gerechtigkeit zu biblischen Zeiten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A3.7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Gerechte Globalisierung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" w:name="_Hlk19796458"/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A3.8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Kirche und Ökonomisierung</w:t>
            </w:r>
          </w:p>
          <w:bookmarkEnd w:id="1"/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A3.9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Philosophische Ethik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A3.10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Deontologie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2" w:name="_Hlk19709336"/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A3.11 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Teleologische Ethik </w:t>
            </w:r>
          </w:p>
          <w:bookmarkEnd w:id="2"/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A3.12 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>Worin besteht die Würde eines Menschen?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A3.13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Menschenwürde - Menschenrechte</w:t>
            </w:r>
          </w:p>
          <w:p w:rsidR="009815F4" w:rsidRPr="0052660C" w:rsidRDefault="009815F4" w:rsidP="00447292">
            <w:pPr>
              <w:suppressAutoHyphens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660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A3.14</w:t>
            </w:r>
            <w:r w:rsidRPr="005266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Menschenrechte</w:t>
            </w:r>
          </w:p>
          <w:p w:rsidR="0054438D" w:rsidRDefault="0054438D" w:rsidP="00447292">
            <w:pPr>
              <w:suppressAutoHyphens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bookmarkEnd w:id="0"/>
          <w:p w:rsidR="00604529" w:rsidRPr="00500679" w:rsidRDefault="00910C05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Bibeltexte: 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>2. Mose 22, 20-26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(Schutz für die Schwachen)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; </w:t>
            </w:r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3. Mose 25</w:t>
            </w:r>
            <w:r w:rsidR="008777C0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(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>Sabbat- und Erlassjahr, Grundbesitz, Zinsnehmen)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; </w:t>
            </w:r>
            <w:r w:rsidR="00604529" w:rsidRPr="00CC64E0">
              <w:rPr>
                <w:rFonts w:asciiTheme="minorHAnsi" w:eastAsia="Calibri" w:hAnsiTheme="minorHAnsi" w:cstheme="minorHAnsi"/>
                <w:sz w:val="20"/>
                <w:szCs w:val="20"/>
              </w:rPr>
              <w:t>Am</w:t>
            </w:r>
            <w:r w:rsidR="00500679" w:rsidRPr="00CC64E0">
              <w:rPr>
                <w:rFonts w:asciiTheme="minorHAnsi" w:eastAsia="Calibri" w:hAnsiTheme="minorHAnsi" w:cstheme="minorHAnsi"/>
                <w:sz w:val="20"/>
                <w:szCs w:val="20"/>
              </w:rPr>
              <w:t>os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 Auszügen; </w:t>
            </w:r>
            <w:proofErr w:type="spellStart"/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Mt</w:t>
            </w:r>
            <w:proofErr w:type="spellEnd"/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20, 1-16</w:t>
            </w:r>
            <w:r w:rsidR="008777C0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>(Arbeiter im Weinberg)</w:t>
            </w:r>
            <w:r w:rsidR="0060452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; </w:t>
            </w:r>
            <w:r w:rsidR="0060452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Mt 22, 36-40</w:t>
            </w:r>
            <w:r w:rsidR="008777C0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(Doppelgebot der Liebe)</w:t>
            </w:r>
          </w:p>
          <w:p w:rsidR="00F40E67" w:rsidRPr="00604529" w:rsidRDefault="00F40E67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04529" w:rsidRPr="00604529" w:rsidRDefault="00910C05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Fachbegriffe: </w:t>
            </w:r>
            <w:r w:rsidR="00604529"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Verteilungsgerechtigkeit, Teilhabegerechtigkeit, Leistungsgerechtigkeit, Nachhaltigkeit, </w:t>
            </w:r>
            <w:r w:rsidR="00604529" w:rsidRPr="0060452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Menschenwürde</w:t>
            </w:r>
            <w:r w:rsidR="00604529"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604529" w:rsidRPr="0060452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Menschenrechte</w:t>
            </w:r>
            <w:r w:rsidR="00604529"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04529" w:rsidRPr="0060452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Zedakah</w:t>
            </w:r>
            <w:proofErr w:type="spellEnd"/>
            <w:r w:rsidR="00C11F5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604529"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>Gesinnungsethik, Verantwortungsethik, utilitaristische Ethik</w:t>
            </w:r>
          </w:p>
          <w:p w:rsidR="00604529" w:rsidRPr="00604529" w:rsidRDefault="00604529" w:rsidP="00447292">
            <w:pPr>
              <w:suppressAutoHyphens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</w:p>
        </w:tc>
      </w:tr>
      <w:tr w:rsidR="00604529" w:rsidRPr="008777C0" w:rsidTr="00B84572">
        <w:tc>
          <w:tcPr>
            <w:tcW w:w="4938" w:type="dxa"/>
            <w:shd w:val="clear" w:color="auto" w:fill="auto"/>
          </w:tcPr>
          <w:p w:rsidR="00604529" w:rsidRPr="008777C0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[3.5.5. (4) unterschiedliche Kirchenverständnisse (zum Beispiel charismatisch, hierarchisch, egalitär, synodal) untersuchen]</w:t>
            </w:r>
            <w:r w:rsidRPr="008777C0">
              <w:rPr>
                <w:rStyle w:val="Funotenzeichen"/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footnoteReference w:id="5"/>
            </w:r>
          </w:p>
          <w:p w:rsidR="00604529" w:rsidRPr="008777C0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04529" w:rsidRPr="00CC64E0" w:rsidRDefault="00604529" w:rsidP="00447292">
            <w:pPr>
              <w:suppressAutoHyphens/>
              <w:rPr>
                <w:rFonts w:asciiTheme="minorHAnsi" w:hAnsiTheme="minorHAnsi" w:cstheme="minorHAnsi"/>
                <w:b/>
                <w:iCs/>
                <w:color w:val="00B050"/>
                <w:sz w:val="20"/>
                <w:szCs w:val="20"/>
              </w:rPr>
            </w:pPr>
            <w:r w:rsidRPr="00CC64E0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500679" w:rsidRPr="00CC64E0">
              <w:rPr>
                <w:rFonts w:asciiTheme="minorHAnsi" w:hAnsiTheme="minorHAnsi" w:cstheme="minorHAnsi"/>
                <w:b/>
                <w:iCs/>
                <w:color w:val="00B050"/>
                <w:sz w:val="20"/>
                <w:szCs w:val="20"/>
              </w:rPr>
              <w:t>[</w:t>
            </w:r>
            <w:r w:rsidRPr="00CC64E0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LF: Was ist Kirche?</w:t>
            </w:r>
            <w:r w:rsidR="00500679" w:rsidRPr="00CC64E0">
              <w:rPr>
                <w:rFonts w:asciiTheme="minorHAnsi" w:hAnsiTheme="minorHAnsi" w:cstheme="minorHAnsi"/>
                <w:b/>
                <w:iCs/>
                <w:color w:val="00B050"/>
                <w:sz w:val="20"/>
                <w:szCs w:val="20"/>
              </w:rPr>
              <w:t>]</w:t>
            </w:r>
          </w:p>
          <w:p w:rsidR="00024C18" w:rsidRPr="008777C0" w:rsidRDefault="00024C18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Wie sieht Kirche aus?</w:t>
            </w:r>
          </w:p>
          <w:p w:rsidR="00604529" w:rsidRPr="008777C0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Welche unterschiedlichen Kirchenverständnisse gibt es?</w:t>
            </w:r>
          </w:p>
          <w:p w:rsidR="00024C18" w:rsidRPr="008777C0" w:rsidRDefault="00024C18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Wie verkörpert die Kirche in ihrem Selbstverständnis und ihrem Auftrag die christliche Perspektive?</w:t>
            </w:r>
          </w:p>
          <w:p w:rsidR="0085148D" w:rsidRPr="008777C0" w:rsidRDefault="00024C18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Wie spiegelt sich das in unterschiedlichen Kirchenverständnissen wider?</w:t>
            </w:r>
          </w:p>
        </w:tc>
        <w:tc>
          <w:tcPr>
            <w:tcW w:w="4820" w:type="dxa"/>
            <w:shd w:val="clear" w:color="auto" w:fill="auto"/>
          </w:tcPr>
          <w:p w:rsidR="009815F4" w:rsidRPr="008777C0" w:rsidRDefault="009815F4" w:rsidP="00447292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A3.15</w:t>
            </w:r>
            <w:r w:rsidRPr="008777C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 Wie erlebe ich Kirche? </w:t>
            </w:r>
          </w:p>
          <w:p w:rsidR="009815F4" w:rsidRPr="008777C0" w:rsidRDefault="009815F4" w:rsidP="00447292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A3.16</w:t>
            </w:r>
            <w:r w:rsidRPr="008777C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 Woran erkennen Menschen Kirche?</w:t>
            </w:r>
          </w:p>
          <w:p w:rsidR="009815F4" w:rsidRPr="008777C0" w:rsidRDefault="009815F4" w:rsidP="00447292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A3.17</w:t>
            </w:r>
            <w:r w:rsidRPr="008777C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 Warum gehören in der Kirche alle zusammen?</w:t>
            </w:r>
          </w:p>
          <w:p w:rsidR="009815F4" w:rsidRPr="008777C0" w:rsidRDefault="009815F4" w:rsidP="00447292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A3.18</w:t>
            </w:r>
            <w:r w:rsidRPr="008777C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 Von der Kirche</w:t>
            </w:r>
          </w:p>
          <w:p w:rsidR="00963EA9" w:rsidRPr="008777C0" w:rsidRDefault="009815F4" w:rsidP="00447292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A3.19</w:t>
            </w:r>
            <w:r w:rsidRPr="008777C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 Kirchenverständnis zwischen hierarchisch und egalitär</w:t>
            </w:r>
          </w:p>
          <w:p w:rsidR="00F40E67" w:rsidRPr="008777C0" w:rsidRDefault="00F40E67" w:rsidP="00447292">
            <w:pPr>
              <w:suppressAutoHyphens/>
              <w:rPr>
                <w:rFonts w:eastAsia="Calibri" w:cstheme="minorHAnsi"/>
                <w:i/>
                <w:color w:val="00B050"/>
                <w:sz w:val="20"/>
                <w:szCs w:val="20"/>
              </w:rPr>
            </w:pPr>
          </w:p>
          <w:p w:rsidR="00604529" w:rsidRPr="00500679" w:rsidRDefault="00910C05" w:rsidP="00447292">
            <w:pPr>
              <w:suppressAutoHyphens/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Bibeltexte: </w:t>
            </w:r>
            <w:r w:rsidR="00604529"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Apg. 2, </w:t>
            </w:r>
            <w:r w:rsidR="00500679" w:rsidRPr="00CC64E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42</w:t>
            </w:r>
            <w:r w:rsidR="00500679"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604529"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-</w:t>
            </w:r>
            <w:r w:rsidR="00500679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604529"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47</w:t>
            </w:r>
            <w:r w:rsid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8777C0" w:rsidRPr="00500679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(Urgemeinde)</w:t>
            </w:r>
            <w:r w:rsidR="00604529" w:rsidRPr="00500679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, </w:t>
            </w:r>
            <w:r w:rsidR="00604529" w:rsidRPr="00500679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1. Kor 12, 12-31</w:t>
            </w:r>
            <w:r w:rsidR="00904A89" w:rsidRPr="00500679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 (ein Leib, viele Glieder)</w:t>
            </w:r>
          </w:p>
          <w:p w:rsidR="00F40E67" w:rsidRPr="008777C0" w:rsidRDefault="00F40E67" w:rsidP="00447292">
            <w:pPr>
              <w:suppressAutoHyphens/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</w:pPr>
          </w:p>
          <w:p w:rsidR="00F40E67" w:rsidRPr="008777C0" w:rsidRDefault="00910C05" w:rsidP="00CC64E0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r w:rsidRPr="008777C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Fachbegriffe: </w:t>
            </w:r>
            <w:r w:rsidR="00604529" w:rsidRPr="008777C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>Gemeinschaft der Glaubenden, Staatskirche, Volkskirche, Freikirche</w:t>
            </w:r>
          </w:p>
        </w:tc>
      </w:tr>
      <w:tr w:rsidR="00604529" w:rsidRPr="00604529" w:rsidTr="00B84572">
        <w:tc>
          <w:tcPr>
            <w:tcW w:w="4938" w:type="dxa"/>
            <w:shd w:val="clear" w:color="auto" w:fill="auto"/>
          </w:tcPr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="00B00A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.5 (1) </w:t>
            </w:r>
            <w:r w:rsidR="00791A49">
              <w:rPr>
                <w:rFonts w:asciiTheme="minorHAnsi" w:hAnsiTheme="minorHAnsi" w:cstheme="minorHAnsi"/>
                <w:sz w:val="20"/>
                <w:szCs w:val="20"/>
              </w:rPr>
              <w:t xml:space="preserve">[3.4.5 (1)] 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eine wiederkehrende Herausforderung für die </w:t>
            </w:r>
            <w:r w:rsidRPr="00963EA9">
              <w:rPr>
                <w:rFonts w:asciiTheme="minorHAnsi" w:hAnsiTheme="minorHAnsi" w:cstheme="minorHAnsi"/>
                <w:sz w:val="20"/>
                <w:szCs w:val="20"/>
              </w:rPr>
              <w:t>Kirche</w:t>
            </w:r>
            <w:r w:rsidRPr="007D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(Armut und Reichtum)</w:t>
            </w:r>
            <w:r w:rsidRPr="007D2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anhand kirchengeschichtlicher Stationen untersuchen</w:t>
            </w:r>
          </w:p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04529" w:rsidRPr="00604529" w:rsidRDefault="00604529" w:rsidP="00447292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b/>
                <w:sz w:val="20"/>
                <w:szCs w:val="20"/>
              </w:rPr>
              <w:t>„Arm und reich“ – ein Fall für die Kirche?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Inwieweit hat die Kirche in ihrer Geschichte Verantwortung übernommen hinsichtlich der Problemstellung „arm und reich“?</w:t>
            </w:r>
          </w:p>
          <w:p w:rsidR="00604529" w:rsidRPr="00604529" w:rsidRDefault="00604529" w:rsidP="00447292">
            <w:pPr>
              <w:suppressAutoHyphens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15EBC" w:rsidRPr="00215EBC" w:rsidRDefault="00215E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15E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A3.20</w:t>
            </w:r>
            <w:r w:rsidRPr="00215E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Kirche und die Armen im Staat</w:t>
            </w:r>
          </w:p>
          <w:p w:rsidR="00215EBC" w:rsidRPr="00215EBC" w:rsidRDefault="00215E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15E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A3.21</w:t>
            </w:r>
            <w:r w:rsidRPr="00215E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Armut und soziale Gerechtigkeit</w:t>
            </w:r>
          </w:p>
          <w:p w:rsidR="00215EBC" w:rsidRPr="00215EBC" w:rsidRDefault="00215E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15E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A3.22</w:t>
            </w:r>
            <w:r w:rsidRPr="00215E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Arm und Reich</w:t>
            </w:r>
          </w:p>
          <w:p w:rsidR="003B5C93" w:rsidRPr="00A71114" w:rsidRDefault="00215EBC" w:rsidP="00500679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15E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A3.23</w:t>
            </w:r>
            <w:proofErr w:type="spellEnd"/>
            <w:r w:rsidRPr="00215E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Option für die Armen</w:t>
            </w:r>
            <w:r w:rsidR="00500679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proofErr w:type="spellStart"/>
            <w:r w:rsidR="00500679" w:rsidRPr="00CC64E0">
              <w:rPr>
                <w:rFonts w:asciiTheme="minorHAnsi" w:eastAsia="Calibri" w:hAnsiTheme="minorHAnsi" w:cstheme="minorHAnsi"/>
                <w:sz w:val="20"/>
                <w:szCs w:val="20"/>
              </w:rPr>
              <w:t>Wi</w:t>
            </w:r>
            <w:bookmarkStart w:id="3" w:name="_GoBack"/>
            <w:bookmarkEnd w:id="3"/>
            <w:r w:rsidR="00500679" w:rsidRPr="00CC64E0">
              <w:rPr>
                <w:rFonts w:asciiTheme="minorHAnsi" w:eastAsia="Calibri" w:hAnsiTheme="minorHAnsi" w:cstheme="minorHAnsi"/>
                <w:sz w:val="20"/>
                <w:szCs w:val="20"/>
              </w:rPr>
              <w:t>chern</w:t>
            </w:r>
            <w:proofErr w:type="spellEnd"/>
          </w:p>
          <w:p w:rsidR="00963EA9" w:rsidRPr="00904A89" w:rsidRDefault="00963EA9" w:rsidP="00447292">
            <w:pPr>
              <w:suppressAutoHyphens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Bibeltexte: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Mt. 25, 31-46</w:t>
            </w:r>
            <w:r w:rsidR="00904A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904A89" w:rsidRPr="00500679">
              <w:rPr>
                <w:rFonts w:asciiTheme="minorHAnsi" w:eastAsia="Calibri" w:hAnsiTheme="minorHAnsi" w:cstheme="minorHAnsi"/>
                <w:sz w:val="20"/>
                <w:szCs w:val="20"/>
              </w:rPr>
              <w:t>(Weltgericht)</w:t>
            </w:r>
          </w:p>
          <w:p w:rsidR="003B5C93" w:rsidRPr="00963EA9" w:rsidRDefault="003B5C93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04529" w:rsidRPr="00604529" w:rsidRDefault="00910C05" w:rsidP="00447292">
            <w:pPr>
              <w:suppressAutoHyphens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Fachbegriffe: </w:t>
            </w:r>
            <w:r w:rsidR="00604529" w:rsidRPr="0060452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Diakonie, Option für die Armen</w:t>
            </w:r>
          </w:p>
          <w:p w:rsidR="00604529" w:rsidRPr="00604529" w:rsidRDefault="00604529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04529" w:rsidRPr="00604529" w:rsidTr="00B84572">
        <w:tc>
          <w:tcPr>
            <w:tcW w:w="4938" w:type="dxa"/>
            <w:shd w:val="clear" w:color="auto" w:fill="auto"/>
          </w:tcPr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B00A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 xml:space="preserve">.5 (2) </w:t>
            </w:r>
            <w:r w:rsidR="00791A49">
              <w:rPr>
                <w:rFonts w:asciiTheme="minorHAnsi" w:hAnsiTheme="minorHAnsi" w:cstheme="minorHAnsi"/>
                <w:sz w:val="20"/>
                <w:szCs w:val="20"/>
              </w:rPr>
              <w:t xml:space="preserve">[3.4.5 (2)] 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Rolle und Bedeutung der Kirchen in der pluralen Gesellschaft anhand ihres Auftrags überprüfen (</w:t>
            </w:r>
            <w:r w:rsidRPr="00C01446">
              <w:rPr>
                <w:rFonts w:asciiTheme="minorHAnsi" w:hAnsiTheme="minorHAnsi" w:cstheme="minorHAnsi"/>
                <w:b/>
                <w:sz w:val="20"/>
                <w:szCs w:val="20"/>
              </w:rPr>
              <w:t>gesellschaftliches und politisches Engagement, Subsidiarität, Bildung</w:t>
            </w:r>
            <w:r w:rsidRPr="006045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04529" w:rsidRPr="00604529" w:rsidRDefault="00604529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04529" w:rsidRPr="00604529" w:rsidRDefault="00604529" w:rsidP="00447292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529">
              <w:rPr>
                <w:rFonts w:asciiTheme="minorHAnsi" w:hAnsiTheme="minorHAnsi" w:cstheme="minorHAnsi"/>
                <w:b/>
                <w:sz w:val="20"/>
                <w:szCs w:val="20"/>
              </w:rPr>
              <w:t>Kirche heute – ein Auslaufmodell?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Was ist die Bedeutung von Kirche</w:t>
            </w:r>
            <w:r w:rsidR="00C11F53"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 in der heutigen Gesellschaft</w:t>
            </w: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04529" w:rsidRPr="00C11F53" w:rsidRDefault="00C11F53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Welchen </w:t>
            </w:r>
            <w:r w:rsidR="00604529"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Auftrag </w:t>
            </w: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hat</w:t>
            </w:r>
            <w:r w:rsidR="00604529"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die </w:t>
            </w:r>
            <w:r w:rsidR="00604529" w:rsidRPr="00C11F53">
              <w:rPr>
                <w:rFonts w:asciiTheme="minorHAnsi" w:hAnsiTheme="minorHAnsi" w:cstheme="minorHAnsi"/>
                <w:sz w:val="20"/>
                <w:szCs w:val="20"/>
              </w:rPr>
              <w:t>Kirche?</w:t>
            </w:r>
          </w:p>
          <w:p w:rsidR="00604529" w:rsidRPr="00C11F53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Welche Rolle </w:t>
            </w:r>
            <w:r w:rsidR="00C11F53" w:rsidRPr="00C11F53">
              <w:rPr>
                <w:rFonts w:asciiTheme="minorHAnsi" w:hAnsiTheme="minorHAnsi" w:cstheme="minorHAnsi"/>
                <w:sz w:val="20"/>
                <w:szCs w:val="20"/>
              </w:rPr>
              <w:t>spielt dabei das</w:t>
            </w: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 gesellschaftl</w:t>
            </w:r>
            <w:r w:rsidR="00C11F53" w:rsidRPr="00C11F53">
              <w:rPr>
                <w:rFonts w:asciiTheme="minorHAnsi" w:hAnsiTheme="minorHAnsi" w:cstheme="minorHAnsi"/>
                <w:sz w:val="20"/>
                <w:szCs w:val="20"/>
              </w:rPr>
              <w:t xml:space="preserve">iches und politisches </w:t>
            </w: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Engagement?</w:t>
            </w:r>
          </w:p>
          <w:p w:rsidR="00C11F53" w:rsidRPr="00C11F53" w:rsidRDefault="00C11F53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C11F53">
              <w:rPr>
                <w:rFonts w:asciiTheme="minorHAnsi" w:hAnsiTheme="minorHAnsi" w:cstheme="minorHAnsi"/>
                <w:sz w:val="20"/>
                <w:szCs w:val="20"/>
              </w:rPr>
              <w:t>Wird die Kirche heute in ihrem politischen und gesellschaftlichen Handeln in einer globalisierten, religionspluralen Welt ihrem Auftrag gerecht?</w:t>
            </w:r>
          </w:p>
          <w:p w:rsidR="00604529" w:rsidRPr="00604529" w:rsidRDefault="00604529" w:rsidP="00447292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A3.24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Aufgaben der Kirche in der Gesellschaft</w:t>
            </w:r>
          </w:p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A3.25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Kirche – Staat - Gesellschaft</w:t>
            </w:r>
          </w:p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A3.26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 politisch darf Kirche sein?</w:t>
            </w:r>
          </w:p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A3.27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 viel Religion braucht ein Staat?</w:t>
            </w:r>
          </w:p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A3.28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Religionsfreiheit</w:t>
            </w:r>
          </w:p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4" w:name="_Hlk19796663"/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A3.29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B00ABC">
                <w:rPr>
                  <w:rFonts w:asciiTheme="minorHAnsi" w:eastAsia="Calibri" w:hAnsiTheme="minorHAnsi" w:cstheme="minorHAnsi"/>
                  <w:sz w:val="20"/>
                  <w:szCs w:val="20"/>
                </w:rPr>
                <w:t>Orientierung aus christlicher Verantwortung</w:t>
              </w:r>
            </w:hyperlink>
          </w:p>
          <w:p w:rsidR="00B00ABC" w:rsidRPr="00B00ABC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5" w:name="_Hlk19796967"/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A3.30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B00ABC">
                <w:rPr>
                  <w:rFonts w:asciiTheme="minorHAnsi" w:eastAsia="Calibri" w:hAnsiTheme="minorHAnsi" w:cstheme="minorHAnsi"/>
                  <w:sz w:val="20"/>
                  <w:szCs w:val="20"/>
                </w:rPr>
                <w:t>Warum braucht die Gesellschaft die katholische Kirche</w:t>
              </w:r>
            </w:hyperlink>
          </w:p>
          <w:p w:rsidR="00DF5AC4" w:rsidRDefault="00B00ABC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6" w:name="_Hlk19796983"/>
            <w:bookmarkEnd w:id="5"/>
            <w:r w:rsidRPr="00B00A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A3.31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bookmarkStart w:id="7" w:name="_Hlk19796920"/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fldChar w:fldCharType="begin"/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instrText>HYPERLINK "https://www.ekd.de/27002.htm"</w:instrTex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fldChar w:fldCharType="separate"/>
            </w:r>
            <w:bookmarkEnd w:id="7"/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>Warum braucht die Gesellschaft die evangelische Kirche</w:t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fldChar w:fldCharType="end"/>
            </w:r>
            <w:r w:rsidRPr="00B00A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bookmarkEnd w:id="4"/>
            <w:bookmarkEnd w:id="6"/>
          </w:p>
          <w:p w:rsidR="00DF5AC4" w:rsidRPr="00904A89" w:rsidRDefault="00DF5AC4" w:rsidP="00447292">
            <w:pPr>
              <w:suppressAutoHyphens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Bibeltexte: </w:t>
            </w:r>
            <w:proofErr w:type="spellStart"/>
            <w:r w:rsidRPr="0060452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Röm</w:t>
            </w:r>
            <w:proofErr w:type="spellEnd"/>
            <w:r w:rsidRPr="0060452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13, 1-7</w:t>
            </w:r>
            <w:r w:rsidR="00904A8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904A89" w:rsidRPr="005006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(Obrigkeit)</w:t>
            </w:r>
          </w:p>
          <w:p w:rsidR="00DF5AC4" w:rsidRPr="00604529" w:rsidRDefault="00DF5AC4" w:rsidP="00447292">
            <w:pPr>
              <w:suppressAutoHyphens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DF5AC4" w:rsidRPr="00604529" w:rsidRDefault="00DF5AC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Fachbegriffe: </w:t>
            </w:r>
            <w:r w:rsidRPr="00604529">
              <w:rPr>
                <w:rFonts w:asciiTheme="minorHAnsi" w:eastAsia="Calibri" w:hAnsiTheme="minorHAnsi" w:cstheme="minorHAnsi"/>
                <w:sz w:val="20"/>
                <w:szCs w:val="20"/>
              </w:rPr>
              <w:t>positive und negative Religionsfreiheit, Subsidiarität</w:t>
            </w:r>
          </w:p>
          <w:p w:rsidR="00123474" w:rsidRPr="00A71114" w:rsidRDefault="00123474" w:rsidP="00447292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777C0" w:rsidRPr="008777C0" w:rsidTr="00B84572">
        <w:tc>
          <w:tcPr>
            <w:tcW w:w="4938" w:type="dxa"/>
            <w:shd w:val="clear" w:color="auto" w:fill="auto"/>
          </w:tcPr>
          <w:p w:rsidR="00604529" w:rsidRPr="00CC64E0" w:rsidRDefault="00604529" w:rsidP="00447292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CC64E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3.5.5 (3) Perspektiven einer zukunftsfähigen Kirche (</w:t>
            </w:r>
            <w:r w:rsidRPr="00CC64E0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Eintreten für Gerechtigkeit und Barmherzigkeit, Mitverantwortung, Widerstand</w:t>
            </w:r>
            <w:r w:rsidRPr="00CC64E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) entwickeln</w:t>
            </w:r>
          </w:p>
        </w:tc>
        <w:tc>
          <w:tcPr>
            <w:tcW w:w="4961" w:type="dxa"/>
            <w:shd w:val="clear" w:color="auto" w:fill="auto"/>
          </w:tcPr>
          <w:p w:rsidR="00604529" w:rsidRPr="00CC64E0" w:rsidRDefault="00604529" w:rsidP="00447292">
            <w:pPr>
              <w:suppressAutoHyphens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CC64E0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(Noch) eine Zukunft für die Kirche?</w:t>
            </w:r>
          </w:p>
          <w:p w:rsidR="00604529" w:rsidRPr="00CC64E0" w:rsidRDefault="00604529" w:rsidP="00447292">
            <w:pPr>
              <w:pStyle w:val="Listenabsatz"/>
              <w:numPr>
                <w:ilvl w:val="0"/>
                <w:numId w:val="26"/>
              </w:numPr>
              <w:suppressAutoHyphens/>
              <w:ind w:left="348" w:hanging="348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CC64E0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Wie kann Kirche in ihrem gesellschaftlichen und politischen Engagement auch in Zukunft ihrem Auftrag gerecht werden und die christliche Perspektive in die Gesellschaft einbringen?</w:t>
            </w:r>
          </w:p>
        </w:tc>
        <w:tc>
          <w:tcPr>
            <w:tcW w:w="4820" w:type="dxa"/>
            <w:shd w:val="clear" w:color="auto" w:fill="auto"/>
          </w:tcPr>
          <w:p w:rsidR="00B00ABC" w:rsidRPr="00CC64E0" w:rsidRDefault="00B00ABC" w:rsidP="00447292">
            <w:pPr>
              <w:suppressAutoHyphens/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CC64E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A3.32 Welche Kirche braucht die Welt?</w:t>
            </w:r>
          </w:p>
          <w:p w:rsidR="00B00ABC" w:rsidRPr="00CC64E0" w:rsidRDefault="00B00ABC" w:rsidP="00447292">
            <w:pPr>
              <w:suppressAutoHyphens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bookmarkStart w:id="8" w:name="_Hlk19813284"/>
            <w:r w:rsidRPr="00CC64E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>A3.33</w:t>
            </w:r>
            <w:r w:rsidRPr="00CC64E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 xml:space="preserve"> </w:t>
            </w:r>
            <w:hyperlink r:id="rId10" w:history="1">
              <w:r w:rsidRPr="00CC64E0">
                <w:rPr>
                  <w:rFonts w:asciiTheme="minorHAnsi" w:eastAsia="Calibri" w:hAnsiTheme="minorHAnsi" w:cstheme="minorHAnsi"/>
                  <w:i/>
                  <w:color w:val="00B050"/>
                  <w:sz w:val="20"/>
                  <w:szCs w:val="20"/>
                </w:rPr>
                <w:t>Zukunft der Kirchen in Deutschland</w:t>
              </w:r>
            </w:hyperlink>
            <w:bookmarkEnd w:id="8"/>
          </w:p>
          <w:p w:rsidR="008233B7" w:rsidRPr="00CC64E0" w:rsidRDefault="00B00ABC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  <w:bookmarkStart w:id="9" w:name="_Hlk19855130"/>
            <w:r w:rsidRPr="00CC64E0">
              <w:rPr>
                <w:rFonts w:asciiTheme="minorHAnsi" w:eastAsia="Calibri" w:hAnsiTheme="minorHAnsi" w:cstheme="minorHAnsi"/>
                <w:b/>
                <w:i/>
                <w:color w:val="00B050"/>
                <w:sz w:val="20"/>
                <w:szCs w:val="20"/>
              </w:rPr>
              <w:t xml:space="preserve">A3.34 </w:t>
            </w:r>
            <w:r w:rsidRPr="00CC64E0"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  <w:t>Kirche im Umbruch</w:t>
            </w:r>
            <w:bookmarkEnd w:id="9"/>
          </w:p>
          <w:p w:rsidR="00F40E67" w:rsidRPr="00CC64E0" w:rsidRDefault="00F40E67" w:rsidP="0044729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color w:val="00B050"/>
                <w:sz w:val="20"/>
                <w:szCs w:val="20"/>
              </w:rPr>
            </w:pPr>
          </w:p>
        </w:tc>
      </w:tr>
    </w:tbl>
    <w:p w:rsidR="00F8133B" w:rsidRPr="00D70E3F" w:rsidRDefault="00F8133B" w:rsidP="00447292">
      <w:pPr>
        <w:suppressAutoHyphens/>
        <w:rPr>
          <w:rFonts w:ascii="Calibri" w:hAnsi="Calibri" w:cs="Calibri"/>
        </w:rPr>
      </w:pPr>
    </w:p>
    <w:p w:rsidR="0000065C" w:rsidRPr="00D70E3F" w:rsidRDefault="0000065C" w:rsidP="00447292">
      <w:pPr>
        <w:rPr>
          <w:rFonts w:ascii="Calibri" w:hAnsi="Calibri" w:cs="Calibri"/>
        </w:rPr>
      </w:pPr>
    </w:p>
    <w:sectPr w:rsidR="0000065C" w:rsidRPr="00D70E3F" w:rsidSect="009E7AAD">
      <w:headerReference w:type="even" r:id="rId11"/>
      <w:headerReference w:type="default" r:id="rId12"/>
      <w:pgSz w:w="16838" w:h="11906" w:orient="landscape"/>
      <w:pgMar w:top="1366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09" w:rsidRDefault="00D64609">
      <w:r>
        <w:separator/>
      </w:r>
    </w:p>
  </w:endnote>
  <w:endnote w:type="continuationSeparator" w:id="0">
    <w:p w:rsidR="00D64609" w:rsidRDefault="00D6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DCDC C+ Optima">
    <w:altName w:val="Opti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09" w:rsidRDefault="00D64609">
      <w:r>
        <w:separator/>
      </w:r>
    </w:p>
  </w:footnote>
  <w:footnote w:type="continuationSeparator" w:id="0">
    <w:p w:rsidR="00D64609" w:rsidRDefault="00D64609">
      <w:r>
        <w:continuationSeparator/>
      </w:r>
    </w:p>
  </w:footnote>
  <w:footnote w:id="1">
    <w:p w:rsidR="00B94DCF" w:rsidRPr="00D60394" w:rsidRDefault="00B94DCF" w:rsidP="00B94DCF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D60394">
        <w:rPr>
          <w:sz w:val="18"/>
          <w:szCs w:val="18"/>
        </w:rPr>
        <w:t>Die fett gedruckten Begriffe und Personen sind verbindlich für das Leistungsfach (Schwerpunktthemen).</w:t>
      </w:r>
    </w:p>
  </w:footnote>
  <w:footnote w:id="2">
    <w:p w:rsidR="0000065C" w:rsidRPr="00D60394" w:rsidRDefault="0000065C" w:rsidP="0000065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D60394">
        <w:rPr>
          <w:sz w:val="18"/>
          <w:szCs w:val="18"/>
        </w:rPr>
        <w:t>Die fett gedruckten Bibeltexte und Fachbegriffe sind verbindlich für das Leistungsfach (Schwerpunktthemen).</w:t>
      </w:r>
    </w:p>
  </w:footnote>
  <w:footnote w:id="3">
    <w:p w:rsidR="00791A49" w:rsidRPr="00D60394" w:rsidRDefault="00791A4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D60394">
        <w:rPr>
          <w:sz w:val="18"/>
          <w:szCs w:val="18"/>
        </w:rPr>
        <w:t xml:space="preserve">In eckigen Klammern sind, sofern vorhanden, jeweils die entsprechenden </w:t>
      </w:r>
      <w:proofErr w:type="spellStart"/>
      <w:r w:rsidRPr="00D60394">
        <w:rPr>
          <w:sz w:val="18"/>
          <w:szCs w:val="18"/>
        </w:rPr>
        <w:t>IBKen</w:t>
      </w:r>
      <w:proofErr w:type="spellEnd"/>
      <w:r w:rsidRPr="00D60394">
        <w:rPr>
          <w:sz w:val="18"/>
          <w:szCs w:val="18"/>
        </w:rPr>
        <w:t xml:space="preserve"> für das Basisfach aufgeführt.</w:t>
      </w:r>
    </w:p>
  </w:footnote>
  <w:footnote w:id="4">
    <w:p w:rsidR="00791A49" w:rsidRDefault="00791A49">
      <w:pPr>
        <w:pStyle w:val="Funotentext"/>
      </w:pPr>
      <w:r>
        <w:rPr>
          <w:rStyle w:val="Funotenzeichen"/>
        </w:rPr>
        <w:footnoteRef/>
      </w:r>
      <w:r>
        <w:t xml:space="preserve"> Bei der Formulierung der Kompetenz für das Basisfach wurde ein anderer Operator gewählt.</w:t>
      </w:r>
    </w:p>
  </w:footnote>
  <w:footnote w:id="5">
    <w:p w:rsidR="00604529" w:rsidRDefault="00604529" w:rsidP="0060452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54812">
        <w:t xml:space="preserve">IBK des BP 2016 für das </w:t>
      </w:r>
      <w:r>
        <w:t>L</w:t>
      </w:r>
      <w:r w:rsidR="00C54812">
        <w:t>eistungsfach</w:t>
      </w:r>
      <w:r>
        <w:t xml:space="preserve">, aber </w:t>
      </w:r>
      <w:r w:rsidR="00C54812">
        <w:t>nicht im</w:t>
      </w:r>
      <w:r>
        <w:t xml:space="preserve"> Schwerpunktthe</w:t>
      </w:r>
      <w:r w:rsidR="00C54812">
        <w:t>menerlass genannt.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D9" w:rsidRDefault="00B447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47D9" w:rsidRDefault="00B44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D9" w:rsidRDefault="00B447D9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29F6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447D9" w:rsidRDefault="00B447D9">
    <w:pPr>
      <w:pStyle w:val="Kopfzeile"/>
      <w:tabs>
        <w:tab w:val="clear" w:pos="4536"/>
      </w:tabs>
    </w:pPr>
  </w:p>
  <w:p w:rsidR="00B447D9" w:rsidRDefault="00B447D9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53B"/>
    <w:multiLevelType w:val="hybridMultilevel"/>
    <w:tmpl w:val="B212F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AF9"/>
    <w:multiLevelType w:val="hybridMultilevel"/>
    <w:tmpl w:val="2D6AB8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7B7"/>
    <w:multiLevelType w:val="hybridMultilevel"/>
    <w:tmpl w:val="A22CF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6121"/>
    <w:multiLevelType w:val="hybridMultilevel"/>
    <w:tmpl w:val="045EEEE8"/>
    <w:lvl w:ilvl="0" w:tplc="2B220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2BCE"/>
    <w:multiLevelType w:val="hybridMultilevel"/>
    <w:tmpl w:val="53D2F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625"/>
    <w:multiLevelType w:val="hybridMultilevel"/>
    <w:tmpl w:val="04C66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50DF"/>
    <w:multiLevelType w:val="hybridMultilevel"/>
    <w:tmpl w:val="8C88E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4F0F"/>
    <w:multiLevelType w:val="hybridMultilevel"/>
    <w:tmpl w:val="8CB0D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6D21"/>
    <w:multiLevelType w:val="hybridMultilevel"/>
    <w:tmpl w:val="D248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C76"/>
    <w:multiLevelType w:val="hybridMultilevel"/>
    <w:tmpl w:val="8E84F3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D5C3B"/>
    <w:multiLevelType w:val="hybridMultilevel"/>
    <w:tmpl w:val="12A6D3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773A7"/>
    <w:multiLevelType w:val="hybridMultilevel"/>
    <w:tmpl w:val="3F66BC7A"/>
    <w:lvl w:ilvl="0" w:tplc="FB9E78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B754F"/>
    <w:multiLevelType w:val="hybridMultilevel"/>
    <w:tmpl w:val="71B0E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510BF"/>
    <w:multiLevelType w:val="hybridMultilevel"/>
    <w:tmpl w:val="0BDE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BA8"/>
    <w:multiLevelType w:val="hybridMultilevel"/>
    <w:tmpl w:val="2264C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5614"/>
    <w:multiLevelType w:val="multilevel"/>
    <w:tmpl w:val="28661C6E"/>
    <w:lvl w:ilvl="0">
      <w:start w:val="2"/>
      <w:numFmt w:val="lowerLetter"/>
      <w:lvlText w:val="%1)"/>
      <w:lvlJc w:val="left"/>
      <w:pPr>
        <w:tabs>
          <w:tab w:val="num" w:pos="708"/>
        </w:tabs>
        <w:ind w:left="2340" w:hanging="360"/>
      </w:pPr>
      <w:rPr>
        <w:rFonts w:ascii="Calibri" w:hAnsi="Calibri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9479F7"/>
    <w:multiLevelType w:val="hybridMultilevel"/>
    <w:tmpl w:val="C0DE9C44"/>
    <w:lvl w:ilvl="0" w:tplc="0568A2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1E87"/>
    <w:multiLevelType w:val="multilevel"/>
    <w:tmpl w:val="7D5217EE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2B2F53"/>
    <w:multiLevelType w:val="hybridMultilevel"/>
    <w:tmpl w:val="90D81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844E8"/>
    <w:multiLevelType w:val="hybridMultilevel"/>
    <w:tmpl w:val="1BE8D4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65AD"/>
    <w:multiLevelType w:val="hybridMultilevel"/>
    <w:tmpl w:val="B1C6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44643"/>
    <w:multiLevelType w:val="hybridMultilevel"/>
    <w:tmpl w:val="763A2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55A7"/>
    <w:multiLevelType w:val="hybridMultilevel"/>
    <w:tmpl w:val="4162A3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6F1"/>
    <w:multiLevelType w:val="hybridMultilevel"/>
    <w:tmpl w:val="69DA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F19F0"/>
    <w:multiLevelType w:val="hybridMultilevel"/>
    <w:tmpl w:val="9280A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B0E84"/>
    <w:multiLevelType w:val="hybridMultilevel"/>
    <w:tmpl w:val="34109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25"/>
  </w:num>
  <w:num w:numId="6">
    <w:abstractNumId w:val="6"/>
  </w:num>
  <w:num w:numId="7">
    <w:abstractNumId w:val="24"/>
  </w:num>
  <w:num w:numId="8">
    <w:abstractNumId w:val="20"/>
  </w:num>
  <w:num w:numId="9">
    <w:abstractNumId w:val="2"/>
  </w:num>
  <w:num w:numId="10">
    <w:abstractNumId w:val="23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21"/>
  </w:num>
  <w:num w:numId="17">
    <w:abstractNumId w:val="9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19"/>
  </w:num>
  <w:num w:numId="23">
    <w:abstractNumId w:val="11"/>
  </w:num>
  <w:num w:numId="24">
    <w:abstractNumId w:val="22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AD"/>
    <w:rsid w:val="0000065C"/>
    <w:rsid w:val="000023AC"/>
    <w:rsid w:val="00016684"/>
    <w:rsid w:val="00024C18"/>
    <w:rsid w:val="000258B8"/>
    <w:rsid w:val="00055C68"/>
    <w:rsid w:val="00056E56"/>
    <w:rsid w:val="00067EE1"/>
    <w:rsid w:val="000848C2"/>
    <w:rsid w:val="000C1859"/>
    <w:rsid w:val="000D6610"/>
    <w:rsid w:val="000D71B8"/>
    <w:rsid w:val="000E4CB4"/>
    <w:rsid w:val="000F14CD"/>
    <w:rsid w:val="001006FB"/>
    <w:rsid w:val="0010276B"/>
    <w:rsid w:val="00103094"/>
    <w:rsid w:val="00105909"/>
    <w:rsid w:val="00112E06"/>
    <w:rsid w:val="001201AC"/>
    <w:rsid w:val="00120E9C"/>
    <w:rsid w:val="00123474"/>
    <w:rsid w:val="00130233"/>
    <w:rsid w:val="00141500"/>
    <w:rsid w:val="00150283"/>
    <w:rsid w:val="00153967"/>
    <w:rsid w:val="00167922"/>
    <w:rsid w:val="00175640"/>
    <w:rsid w:val="00183ADF"/>
    <w:rsid w:val="00190E59"/>
    <w:rsid w:val="001934CA"/>
    <w:rsid w:val="0019679F"/>
    <w:rsid w:val="001A033F"/>
    <w:rsid w:val="001A1B56"/>
    <w:rsid w:val="001B4D95"/>
    <w:rsid w:val="001C4FDF"/>
    <w:rsid w:val="001F16EE"/>
    <w:rsid w:val="00201EF1"/>
    <w:rsid w:val="00215EBC"/>
    <w:rsid w:val="00222A50"/>
    <w:rsid w:val="00231657"/>
    <w:rsid w:val="00236B32"/>
    <w:rsid w:val="002404E2"/>
    <w:rsid w:val="00242B58"/>
    <w:rsid w:val="00243B71"/>
    <w:rsid w:val="00254E9F"/>
    <w:rsid w:val="0025527E"/>
    <w:rsid w:val="002856BE"/>
    <w:rsid w:val="00291D81"/>
    <w:rsid w:val="002921AA"/>
    <w:rsid w:val="002A368F"/>
    <w:rsid w:val="002A36C2"/>
    <w:rsid w:val="002C084F"/>
    <w:rsid w:val="002D3EFE"/>
    <w:rsid w:val="002E0A31"/>
    <w:rsid w:val="002F114E"/>
    <w:rsid w:val="00320F94"/>
    <w:rsid w:val="00326E1E"/>
    <w:rsid w:val="003274F6"/>
    <w:rsid w:val="003361F8"/>
    <w:rsid w:val="00354A91"/>
    <w:rsid w:val="003561B4"/>
    <w:rsid w:val="00371085"/>
    <w:rsid w:val="003732D6"/>
    <w:rsid w:val="00377639"/>
    <w:rsid w:val="00381615"/>
    <w:rsid w:val="0038555F"/>
    <w:rsid w:val="00390DF2"/>
    <w:rsid w:val="00394CDC"/>
    <w:rsid w:val="003A0E36"/>
    <w:rsid w:val="003B0F54"/>
    <w:rsid w:val="003B3069"/>
    <w:rsid w:val="003B5C93"/>
    <w:rsid w:val="003B7F10"/>
    <w:rsid w:val="003C25F2"/>
    <w:rsid w:val="003D245F"/>
    <w:rsid w:val="003E205F"/>
    <w:rsid w:val="00412CC0"/>
    <w:rsid w:val="0041721F"/>
    <w:rsid w:val="00417AB9"/>
    <w:rsid w:val="004256C4"/>
    <w:rsid w:val="00426936"/>
    <w:rsid w:val="00431204"/>
    <w:rsid w:val="00446473"/>
    <w:rsid w:val="00447292"/>
    <w:rsid w:val="0047299D"/>
    <w:rsid w:val="00483403"/>
    <w:rsid w:val="00485557"/>
    <w:rsid w:val="004D57E6"/>
    <w:rsid w:val="004D6023"/>
    <w:rsid w:val="00500679"/>
    <w:rsid w:val="00516E9D"/>
    <w:rsid w:val="00522B0E"/>
    <w:rsid w:val="005238D2"/>
    <w:rsid w:val="0052660C"/>
    <w:rsid w:val="00526838"/>
    <w:rsid w:val="00526F83"/>
    <w:rsid w:val="00543D98"/>
    <w:rsid w:val="00543EBA"/>
    <w:rsid w:val="0054438D"/>
    <w:rsid w:val="00545B4C"/>
    <w:rsid w:val="00552166"/>
    <w:rsid w:val="0055701C"/>
    <w:rsid w:val="0057251D"/>
    <w:rsid w:val="005843E8"/>
    <w:rsid w:val="00587590"/>
    <w:rsid w:val="00595A90"/>
    <w:rsid w:val="005A0E08"/>
    <w:rsid w:val="005A6443"/>
    <w:rsid w:val="005A65F4"/>
    <w:rsid w:val="005B4896"/>
    <w:rsid w:val="005C3BC1"/>
    <w:rsid w:val="005D14C5"/>
    <w:rsid w:val="005D3C9D"/>
    <w:rsid w:val="005F0DB0"/>
    <w:rsid w:val="005F353B"/>
    <w:rsid w:val="00604529"/>
    <w:rsid w:val="00606156"/>
    <w:rsid w:val="006135F9"/>
    <w:rsid w:val="006179F0"/>
    <w:rsid w:val="006243D0"/>
    <w:rsid w:val="0063447D"/>
    <w:rsid w:val="00637031"/>
    <w:rsid w:val="00637513"/>
    <w:rsid w:val="0064382A"/>
    <w:rsid w:val="00647D7A"/>
    <w:rsid w:val="00661CA4"/>
    <w:rsid w:val="00680555"/>
    <w:rsid w:val="00694C3A"/>
    <w:rsid w:val="00696A53"/>
    <w:rsid w:val="006C316A"/>
    <w:rsid w:val="006D1747"/>
    <w:rsid w:val="006D7267"/>
    <w:rsid w:val="006D7EA6"/>
    <w:rsid w:val="006E2B5C"/>
    <w:rsid w:val="006E6867"/>
    <w:rsid w:val="006F1BB9"/>
    <w:rsid w:val="006F38FB"/>
    <w:rsid w:val="007000CA"/>
    <w:rsid w:val="00707A93"/>
    <w:rsid w:val="00725787"/>
    <w:rsid w:val="00757BAF"/>
    <w:rsid w:val="00791A49"/>
    <w:rsid w:val="00796EF1"/>
    <w:rsid w:val="007A2816"/>
    <w:rsid w:val="007A73D6"/>
    <w:rsid w:val="007B2470"/>
    <w:rsid w:val="007D269F"/>
    <w:rsid w:val="007F08F0"/>
    <w:rsid w:val="007F17DA"/>
    <w:rsid w:val="007F3915"/>
    <w:rsid w:val="00802E72"/>
    <w:rsid w:val="00813CAD"/>
    <w:rsid w:val="00815656"/>
    <w:rsid w:val="008233B7"/>
    <w:rsid w:val="0082577F"/>
    <w:rsid w:val="008425AC"/>
    <w:rsid w:val="0085148D"/>
    <w:rsid w:val="00854D27"/>
    <w:rsid w:val="00872663"/>
    <w:rsid w:val="008777C0"/>
    <w:rsid w:val="00886CAE"/>
    <w:rsid w:val="00891E54"/>
    <w:rsid w:val="00893D51"/>
    <w:rsid w:val="0089452A"/>
    <w:rsid w:val="00897499"/>
    <w:rsid w:val="008A0827"/>
    <w:rsid w:val="008B32E2"/>
    <w:rsid w:val="008D4B15"/>
    <w:rsid w:val="008E47E5"/>
    <w:rsid w:val="008F25F9"/>
    <w:rsid w:val="008F3735"/>
    <w:rsid w:val="00902806"/>
    <w:rsid w:val="00902ACC"/>
    <w:rsid w:val="00902AD5"/>
    <w:rsid w:val="00904A89"/>
    <w:rsid w:val="00905AE9"/>
    <w:rsid w:val="00910C05"/>
    <w:rsid w:val="00922BE1"/>
    <w:rsid w:val="009268A7"/>
    <w:rsid w:val="00941E4D"/>
    <w:rsid w:val="009535EF"/>
    <w:rsid w:val="00962D19"/>
    <w:rsid w:val="00963EA9"/>
    <w:rsid w:val="009665AA"/>
    <w:rsid w:val="00975885"/>
    <w:rsid w:val="00975E70"/>
    <w:rsid w:val="009815F4"/>
    <w:rsid w:val="00983B47"/>
    <w:rsid w:val="00985587"/>
    <w:rsid w:val="009970B6"/>
    <w:rsid w:val="009C5BF8"/>
    <w:rsid w:val="009E7AAD"/>
    <w:rsid w:val="00A02467"/>
    <w:rsid w:val="00A17F29"/>
    <w:rsid w:val="00A2133E"/>
    <w:rsid w:val="00A279E4"/>
    <w:rsid w:val="00A343E6"/>
    <w:rsid w:val="00A36063"/>
    <w:rsid w:val="00A51124"/>
    <w:rsid w:val="00A71114"/>
    <w:rsid w:val="00A74C2A"/>
    <w:rsid w:val="00A75439"/>
    <w:rsid w:val="00AB3692"/>
    <w:rsid w:val="00AC326F"/>
    <w:rsid w:val="00AD6150"/>
    <w:rsid w:val="00AE1BD6"/>
    <w:rsid w:val="00AF1F9F"/>
    <w:rsid w:val="00B00ABC"/>
    <w:rsid w:val="00B06098"/>
    <w:rsid w:val="00B07BAA"/>
    <w:rsid w:val="00B20F5A"/>
    <w:rsid w:val="00B4117B"/>
    <w:rsid w:val="00B423DE"/>
    <w:rsid w:val="00B429F6"/>
    <w:rsid w:val="00B447D9"/>
    <w:rsid w:val="00B52430"/>
    <w:rsid w:val="00B53E38"/>
    <w:rsid w:val="00B60262"/>
    <w:rsid w:val="00B65F89"/>
    <w:rsid w:val="00B7237E"/>
    <w:rsid w:val="00B73EC2"/>
    <w:rsid w:val="00B8305F"/>
    <w:rsid w:val="00B94DCF"/>
    <w:rsid w:val="00BA0786"/>
    <w:rsid w:val="00BB656C"/>
    <w:rsid w:val="00BF4987"/>
    <w:rsid w:val="00C00D68"/>
    <w:rsid w:val="00C01446"/>
    <w:rsid w:val="00C05264"/>
    <w:rsid w:val="00C10815"/>
    <w:rsid w:val="00C11F53"/>
    <w:rsid w:val="00C13EB6"/>
    <w:rsid w:val="00C152E1"/>
    <w:rsid w:val="00C15621"/>
    <w:rsid w:val="00C218C7"/>
    <w:rsid w:val="00C21AC5"/>
    <w:rsid w:val="00C272C5"/>
    <w:rsid w:val="00C32270"/>
    <w:rsid w:val="00C352E6"/>
    <w:rsid w:val="00C4130F"/>
    <w:rsid w:val="00C453B4"/>
    <w:rsid w:val="00C53A0A"/>
    <w:rsid w:val="00C54812"/>
    <w:rsid w:val="00C70D73"/>
    <w:rsid w:val="00C77F3B"/>
    <w:rsid w:val="00C9046E"/>
    <w:rsid w:val="00C90562"/>
    <w:rsid w:val="00CA3B91"/>
    <w:rsid w:val="00CC64E0"/>
    <w:rsid w:val="00CD00B5"/>
    <w:rsid w:val="00CD37ED"/>
    <w:rsid w:val="00CD4EE2"/>
    <w:rsid w:val="00CD5D7E"/>
    <w:rsid w:val="00CE0705"/>
    <w:rsid w:val="00CF000D"/>
    <w:rsid w:val="00CF362D"/>
    <w:rsid w:val="00D0492A"/>
    <w:rsid w:val="00D05035"/>
    <w:rsid w:val="00D114CA"/>
    <w:rsid w:val="00D165BE"/>
    <w:rsid w:val="00D504EE"/>
    <w:rsid w:val="00D54972"/>
    <w:rsid w:val="00D6030D"/>
    <w:rsid w:val="00D60394"/>
    <w:rsid w:val="00D62EA3"/>
    <w:rsid w:val="00D64609"/>
    <w:rsid w:val="00D70E3F"/>
    <w:rsid w:val="00D810A6"/>
    <w:rsid w:val="00D8207C"/>
    <w:rsid w:val="00D915CB"/>
    <w:rsid w:val="00D960DE"/>
    <w:rsid w:val="00DA7B8E"/>
    <w:rsid w:val="00DB1DD9"/>
    <w:rsid w:val="00DB5FDB"/>
    <w:rsid w:val="00DC0EC4"/>
    <w:rsid w:val="00DC2E42"/>
    <w:rsid w:val="00DD0C7F"/>
    <w:rsid w:val="00DD2EE6"/>
    <w:rsid w:val="00DD528A"/>
    <w:rsid w:val="00DF5AC4"/>
    <w:rsid w:val="00DF6D03"/>
    <w:rsid w:val="00DF7E6A"/>
    <w:rsid w:val="00E05EA4"/>
    <w:rsid w:val="00E06ECF"/>
    <w:rsid w:val="00E13B9D"/>
    <w:rsid w:val="00E34818"/>
    <w:rsid w:val="00E4538C"/>
    <w:rsid w:val="00E571DF"/>
    <w:rsid w:val="00E7121E"/>
    <w:rsid w:val="00E73E9C"/>
    <w:rsid w:val="00E824FE"/>
    <w:rsid w:val="00E8583A"/>
    <w:rsid w:val="00EA721D"/>
    <w:rsid w:val="00EC73A0"/>
    <w:rsid w:val="00ED2AB2"/>
    <w:rsid w:val="00ED3419"/>
    <w:rsid w:val="00EE4492"/>
    <w:rsid w:val="00EF355D"/>
    <w:rsid w:val="00EF7BCF"/>
    <w:rsid w:val="00F04C72"/>
    <w:rsid w:val="00F27D99"/>
    <w:rsid w:val="00F30918"/>
    <w:rsid w:val="00F367AA"/>
    <w:rsid w:val="00F40B99"/>
    <w:rsid w:val="00F40E67"/>
    <w:rsid w:val="00F46B71"/>
    <w:rsid w:val="00F617F6"/>
    <w:rsid w:val="00F712EF"/>
    <w:rsid w:val="00F716ED"/>
    <w:rsid w:val="00F8133B"/>
    <w:rsid w:val="00F8139C"/>
    <w:rsid w:val="00FA2847"/>
    <w:rsid w:val="00FA332D"/>
    <w:rsid w:val="00FA3507"/>
    <w:rsid w:val="00FA4CF0"/>
    <w:rsid w:val="00FA712F"/>
    <w:rsid w:val="00FC39FF"/>
    <w:rsid w:val="00FC4F68"/>
    <w:rsid w:val="00FC57CE"/>
    <w:rsid w:val="00FD44AA"/>
    <w:rsid w:val="00FE79EE"/>
    <w:rsid w:val="00FE7A32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444F9"/>
  <w15:docId w15:val="{7B269421-3A46-4BB3-8223-A70A29CF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57C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46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uiPriority w:val="9"/>
    <w:rsid w:val="009E7AAD"/>
    <w:rPr>
      <w:rFonts w:asciiTheme="majorHAnsi" w:eastAsiaTheme="majorEastAsia" w:hAnsiTheme="majorHAnsi" w:cstheme="majorBidi"/>
      <w:b/>
      <w:sz w:val="36"/>
      <w:szCs w:val="32"/>
      <w:lang w:eastAsia="en-US"/>
    </w:rPr>
  </w:style>
  <w:style w:type="character" w:customStyle="1" w:styleId="Hyperlink1">
    <w:name w:val="Hyperlink1"/>
    <w:basedOn w:val="Absatz-Standardschriftart"/>
    <w:uiPriority w:val="99"/>
    <w:unhideWhenUsed/>
    <w:rsid w:val="009E7AAD"/>
    <w:rPr>
      <w:color w:val="0563C1"/>
      <w:u w:val="single"/>
    </w:rPr>
  </w:style>
  <w:style w:type="paragraph" w:styleId="Funotentext">
    <w:name w:val="footnote text"/>
    <w:basedOn w:val="Standard"/>
    <w:link w:val="FunotentextZchn"/>
    <w:unhideWhenUsed/>
    <w:rsid w:val="009E7A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7AA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nhideWhenUsed/>
    <w:rsid w:val="009E7A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01EF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C2E4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0065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F46B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46B71"/>
    <w:rPr>
      <w:b/>
      <w:bCs/>
    </w:rPr>
  </w:style>
  <w:style w:type="paragraph" w:customStyle="1" w:styleId="Default">
    <w:name w:val="Default"/>
    <w:rsid w:val="004D6023"/>
    <w:pPr>
      <w:autoSpaceDE w:val="0"/>
      <w:autoSpaceDN w:val="0"/>
      <w:adjustRightInd w:val="0"/>
    </w:pPr>
    <w:rPr>
      <w:rFonts w:ascii="FDCDC C+ Optima" w:hAnsi="FDCDC C+ Optima" w:cs="FDCDC C+ Optim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21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4472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7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d.de/23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tur2.org/article/wie-haben-die-kirchen-in-deutschland-eine-zukunf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ur2.org/article/wozu-braucht-gesellschaft-kirche-warum-ueberhaupt-kirch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F6C8-D927-684C-BBA6-B1CE5DE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Simon, Frank (RPK)</dc:creator>
  <cp:lastModifiedBy>matthias imkampe</cp:lastModifiedBy>
  <cp:revision>2</cp:revision>
  <cp:lastPrinted>2019-10-17T16:20:00Z</cp:lastPrinted>
  <dcterms:created xsi:type="dcterms:W3CDTF">2020-01-29T21:18:00Z</dcterms:created>
  <dcterms:modified xsi:type="dcterms:W3CDTF">2020-01-29T21:18:00Z</dcterms:modified>
</cp:coreProperties>
</file>