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LineNumbers/>
        <w:spacing w:before="0" w:after="0"/>
        <w:rPr/>
      </w:pPr>
      <w:r>
        <w:rPr>
          <w:b/>
          <w:bCs/>
        </w:rPr>
        <w:t>C1.11</w:t>
      </w:r>
    </w:p>
    <w:tbl>
      <w:tblPr>
        <w:tblStyle w:val="Tabellenraster"/>
        <w:tblW w:w="90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060"/>
      </w:tblGrid>
      <w:tr>
        <w:trPr/>
        <w:tc>
          <w:tcPr>
            <w:tcW w:w="9060" w:type="dxa"/>
            <w:tcBorders/>
          </w:tcPr>
          <w:p>
            <w:pPr>
              <w:pStyle w:val="Normal"/>
              <w:widowControl/>
              <w:suppressLineNumbers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 xml:space="preserve">Bildungsplanbezug: Die Schülerinnen und Schüler können </w:t>
            </w:r>
          </w:p>
          <w:p>
            <w:pPr>
              <w:pStyle w:val="Normal"/>
              <w:widowControl/>
              <w:suppressLineNumbers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lang w:val="de-DE" w:eastAsia="en-US" w:bidi="ar-SA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de-DE" w:eastAsia="en-US" w:bidi="ar-SA"/>
              </w:rPr>
              <w:t>3.4.5 (2) Rolle und Bedeutung der Kirchen in der pluralen Gesellschaft anhand ihres Auftrags überprüfen (zum Beispiel gesellschaftliches und politisches Engagement, Subsidiarität, Ökumene, Religiosität, Bildung</w:t>
            </w:r>
          </w:p>
        </w:tc>
      </w:tr>
    </w:tbl>
    <w:p>
      <w:pPr>
        <w:pStyle w:val="Normal"/>
        <w:suppressLineNumbers/>
        <w:spacing w:before="0" w:after="0"/>
        <w:rPr/>
      </w:pPr>
      <w:r>
        <w:rPr/>
      </w:r>
    </w:p>
    <w:p>
      <w:pPr>
        <w:pStyle w:val="Normal"/>
        <w:suppressLineNumbers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Dorothee Sölle schrieb ihrem Buch </w:t>
      </w:r>
      <w:r>
        <w:rPr>
          <w:i/>
          <w:iCs/>
          <w:sz w:val="20"/>
          <w:szCs w:val="20"/>
        </w:rPr>
        <w:t>Gegenwind</w:t>
      </w:r>
      <w:r>
        <w:rPr>
          <w:sz w:val="20"/>
          <w:szCs w:val="20"/>
        </w:rPr>
        <w:t xml:space="preserve"> (erschienen 1995): „Theologisches Nachdenken ohne politische Konsequenzen kommt einer Heuchelei gleich. Jeder theologische Satz muss auch ein politischer sein.“ </w:t>
      </w:r>
    </w:p>
    <w:p>
      <w:pPr>
        <w:pStyle w:val="Normal"/>
        <w:suppressLineNumbers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Dorothee Sölle: Was macht Kirche aus?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 xml:space="preserve">Text von: „Jesus verkündigte das Reich Gottes.“ 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 xml:space="preserve">Text bis: „Sie erinnert sich an ihren Ursprung, an die Zeit der ursprünglichen Jesusbewegung, als das Reich Gottes verkündigt wurde und in Jesus Gestalt annahm </w:t>
      </w:r>
      <w:r>
        <w:rPr>
          <w:rStyle w:val="Linenumber"/>
          <w:sz w:val="20"/>
          <w:szCs w:val="20"/>
        </w:rPr>
        <w:t>[...]</w:t>
      </w:r>
      <w:r>
        <w:rPr>
          <w:rStyle w:val="Linenumber"/>
          <w:sz w:val="20"/>
          <w:szCs w:val="20"/>
        </w:rPr>
        <w:t xml:space="preserve">“ 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[…]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 xml:space="preserve">Text von: „Bleibt diese Beziehung zwischen dem Reich Gottes und der Kirche ein „zwischen den Zeiten“ </w:t>
      </w:r>
      <w:r>
        <w:rPr>
          <w:rStyle w:val="Linenumber"/>
          <w:rFonts w:asciiTheme="minorHAnsi" w:hAnsiTheme="minorHAnsi"/>
          <w:sz w:val="20"/>
          <w:szCs w:val="20"/>
        </w:rPr>
        <w:t>[...]</w:t>
      </w:r>
      <w:r>
        <w:rPr>
          <w:rStyle w:val="Linenumber"/>
          <w:sz w:val="20"/>
          <w:szCs w:val="20"/>
        </w:rPr>
        <w:t xml:space="preserve">“ 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Text bis: „Das Kerygma ist aber nicht einfach eine bestimmte, an den Verstand sich richtende Lehre, sondern ein Ruf zum neuen Leben und zur Umkehr.“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 xml:space="preserve"> </w:t>
      </w:r>
      <w:r>
        <w:rPr>
          <w:rStyle w:val="Linenumber"/>
          <w:sz w:val="20"/>
          <w:szCs w:val="20"/>
        </w:rPr>
        <w:t>[…]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 xml:space="preserve">Text von: „Diakonia bedeutet Dienen bzw. Dienst.“ </w:t>
      </w:r>
    </w:p>
    <w:p>
      <w:pPr>
        <w:pStyle w:val="Normal"/>
        <w:spacing w:before="0" w:after="0"/>
        <w:jc w:val="both"/>
        <w:rPr>
          <w:rStyle w:val="Linenumber"/>
          <w:sz w:val="20"/>
          <w:szCs w:val="20"/>
        </w:rPr>
      </w:pPr>
      <w:r>
        <w:rPr>
          <w:rStyle w:val="Linenumber"/>
          <w:sz w:val="20"/>
          <w:szCs w:val="20"/>
        </w:rPr>
        <w:t>Text bis: „Wo lebendige Kirche ist, da finden sich Kerygma, Diakonia und Koinonia als die Grundelemente der Kirche zusammen.“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rStyle w:val="Linenumber"/>
        </w:rPr>
      </w:pPr>
      <w:r>
        <w:rPr>
          <w:sz w:val="16"/>
          <w:szCs w:val="16"/>
        </w:rPr>
        <w:t>Dorothee Sölle, Gott denken. Einführung in die Theologie, Deutscher Taschenbuch Verlag, München 1997, S.179-187</w:t>
      </w:r>
    </w:p>
    <w:sectPr>
      <w:type w:val="nextPage"/>
      <w:pgSz w:w="11906" w:h="16838"/>
      <w:pgMar w:left="1418" w:right="1418" w:header="0" w:top="1418" w:footer="0" w:bottom="1134" w:gutter="0"/>
      <w:lnNumType w:countBy="5" w:restart="continuous" w:distance="17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Times New Roman">
    <w:charset w:val="01"/>
    <w:family w:val="auto"/>
    <w:pitch w:val="default"/>
  </w:font>
  <w:font w:name="Ubuntu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unhideWhenUsed/>
    <w:qFormat/>
    <w:rsid w:val="00c4273a"/>
    <w:rPr>
      <w:rFonts w:ascii="Calibri" w:hAnsi="Calibri" w:asciiTheme="minorHAnsi" w:hAnsiTheme="minorHAnsi"/>
      <w:sz w:val="16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451ad"/>
    <w:rPr>
      <w:rFonts w:ascii="Times New Roman" w:hAnsi="Times New Roman" w:cs="Times New Roman"/>
      <w:sz w:val="18"/>
      <w:szCs w:val="18"/>
    </w:rPr>
  </w:style>
  <w:style w:type="character" w:styleId="Zeilennummerierung">
    <w:name w:val="Zeilennummerierung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Ubuntu" w:hAnsi="Ubuntu" w:eastAsia="Tahoma" w:cs="FreeSans"/>
      <w:sz w:val="26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ascii="Ubuntu" w:hAnsi="Ubuntu" w:cs="FreeSans"/>
      <w:sz w:val="24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Ubuntu" w:hAnsi="Ubuntu"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Ubuntu" w:hAnsi="Ubuntu" w:cs="FreeSans"/>
      <w:sz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451ad"/>
    <w:pPr>
      <w:spacing w:lineRule="auto" w:line="240" w:before="0" w:after="0"/>
    </w:pPr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fa79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LibreOffice/7.0.6.2$Linux_X86_64 LibreOffice_project/00$Build-2</Application>
  <AppVersion>15.0000</AppVersion>
  <Pages>1</Pages>
  <Words>180</Words>
  <Characters>1103</Characters>
  <CharactersWithSpaces>1276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2021-08-04T11:47:00Z</dcterms:created>
  <dc:creator>Olaf Wagemann</dc:creator>
  <dc:description/>
  <dc:language>de-DE</dc:language>
  <cp:lastModifiedBy>Michael Sedding</cp:lastModifiedBy>
  <cp:lastPrinted>2019-11-05T19:13:00Z</cp:lastPrinted>
  <dcterms:modified xsi:type="dcterms:W3CDTF">2022-05-26T13:12:26Z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