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A6" w:rsidRPr="00C24EFC" w:rsidRDefault="00C24EFC">
      <w:pPr>
        <w:pBdr>
          <w:bottom w:val="single" w:sz="12" w:space="1" w:color="auto"/>
        </w:pBdr>
        <w:rPr>
          <w:b/>
          <w:sz w:val="28"/>
          <w:szCs w:val="28"/>
        </w:rPr>
      </w:pPr>
      <w:r>
        <w:rPr>
          <w:b/>
          <w:sz w:val="28"/>
          <w:szCs w:val="28"/>
        </w:rPr>
        <w:t>J. HABERMAS:</w:t>
      </w:r>
    </w:p>
    <w:p w:rsidR="00757FFB" w:rsidRDefault="00757FFB"/>
    <w:p w:rsidR="00C24EFC" w:rsidRDefault="00C24EFC" w:rsidP="00757FFB">
      <w:pPr>
        <w:jc w:val="both"/>
        <w:rPr>
          <w:sz w:val="24"/>
          <w:szCs w:val="24"/>
        </w:rPr>
      </w:pPr>
      <w:r>
        <w:rPr>
          <w:sz w:val="24"/>
          <w:szCs w:val="24"/>
        </w:rPr>
        <w:t xml:space="preserve">Der letzte – noch lebende – Vertreter der ‚Frankfurter Schule‘ ist Jürgen Habermas. Im Kontext deren sog. ‚Kritischen Theorie‘, geht es Habermas darum, allgemeine Strukturprinzipien der Gesellschaft, der Wirtschaftsweise und des Leistungsprinzips zu reflektieren und hierbei </w:t>
      </w:r>
      <w:proofErr w:type="spellStart"/>
      <w:r>
        <w:rPr>
          <w:sz w:val="24"/>
          <w:szCs w:val="24"/>
        </w:rPr>
        <w:t>näherhin</w:t>
      </w:r>
      <w:proofErr w:type="spellEnd"/>
      <w:r>
        <w:rPr>
          <w:sz w:val="24"/>
          <w:szCs w:val="24"/>
        </w:rPr>
        <w:t xml:space="preserve"> auf Formen von Unterdrückung und Ausbeutung hinzuweisen. Ziel ist eine humane, repressions- und herrschaftsfreie Gesellschaft.</w:t>
      </w:r>
    </w:p>
    <w:p w:rsidR="00C24EFC" w:rsidRDefault="00C24EFC" w:rsidP="00C24EFC">
      <w:pPr>
        <w:jc w:val="both"/>
        <w:rPr>
          <w:sz w:val="24"/>
          <w:szCs w:val="24"/>
        </w:rPr>
      </w:pPr>
      <w:r>
        <w:rPr>
          <w:sz w:val="24"/>
          <w:szCs w:val="24"/>
        </w:rPr>
        <w:t>Habermas formuliert hierzu: „</w:t>
      </w:r>
      <w:r>
        <w:rPr>
          <w:sz w:val="24"/>
          <w:szCs w:val="24"/>
        </w:rPr>
        <w:t>Als geschichtliche und soziale Wesen finden wir uns in unserer Lebenswelt vor. Im Logos der Sprache verkörpert sich eine Macht des Intersubjektiven, die der Subjektivität der Sprache voraus- und zu Grunde liegt.</w:t>
      </w:r>
      <w:r>
        <w:rPr>
          <w:sz w:val="24"/>
          <w:szCs w:val="24"/>
        </w:rPr>
        <w:t>“</w:t>
      </w:r>
    </w:p>
    <w:p w:rsidR="00C24EFC" w:rsidRDefault="00C24EFC" w:rsidP="00757FFB">
      <w:pPr>
        <w:jc w:val="both"/>
        <w:rPr>
          <w:sz w:val="24"/>
          <w:szCs w:val="24"/>
        </w:rPr>
      </w:pPr>
      <w:r>
        <w:rPr>
          <w:sz w:val="24"/>
          <w:szCs w:val="24"/>
        </w:rPr>
        <w:t>Habermas fordert konsequent eine herrschaftsfreie Kommunikation, die auch „ideale Sprechsituation“ heißt. In der ethischen Diskussion suchen alle am Prozess beteiligten Personen und Gruppen, mittels der Reflexion von Voraussetzungen und Wirkungen von zeit- und gesellschaftsspezifischen Ansätzen, nach (durchaus auch) universal gültigen Aussagen über das menschliche Handeln. Wobei gilt: „</w:t>
      </w:r>
      <w:r>
        <w:rPr>
          <w:sz w:val="24"/>
          <w:szCs w:val="24"/>
        </w:rPr>
        <w:t>Das Moralprinzip wird dann so gefasst, dass es die Normen als ungültig ausschließt, die nicht die qualifizierte Zustimmung aller möglicherweise Betroffenen finden könnten.</w:t>
      </w:r>
      <w:r>
        <w:rPr>
          <w:sz w:val="24"/>
          <w:szCs w:val="24"/>
        </w:rPr>
        <w:t>“</w:t>
      </w:r>
    </w:p>
    <w:p w:rsidR="00C24EFC" w:rsidRDefault="00C24EFC" w:rsidP="00757FFB">
      <w:pPr>
        <w:jc w:val="both"/>
        <w:rPr>
          <w:sz w:val="24"/>
          <w:szCs w:val="24"/>
        </w:rPr>
      </w:pPr>
      <w:r>
        <w:rPr>
          <w:sz w:val="24"/>
          <w:szCs w:val="24"/>
        </w:rPr>
        <w:t>Um diesen herrschaftsfreien Diskurs zu führen, braucht es den Willen und die unbedingte Akzeptanz der Argumente aller am Diskurs Beteiligen.</w:t>
      </w:r>
    </w:p>
    <w:p w:rsidR="00514654" w:rsidRDefault="00514654" w:rsidP="00757FFB">
      <w:pPr>
        <w:jc w:val="both"/>
        <w:rPr>
          <w:sz w:val="24"/>
          <w:szCs w:val="24"/>
        </w:rPr>
      </w:pPr>
    </w:p>
    <w:p w:rsidR="00514654" w:rsidRDefault="00C24EFC" w:rsidP="00757FFB">
      <w:pPr>
        <w:jc w:val="both"/>
        <w:rPr>
          <w:sz w:val="20"/>
          <w:szCs w:val="20"/>
        </w:rPr>
      </w:pPr>
      <w:r>
        <w:rPr>
          <w:sz w:val="20"/>
          <w:szCs w:val="20"/>
        </w:rPr>
        <w:t>Vgl.</w:t>
      </w:r>
      <w:r w:rsidR="00514654">
        <w:rPr>
          <w:sz w:val="20"/>
          <w:szCs w:val="20"/>
        </w:rPr>
        <w:t xml:space="preserve"> J. Habermas: Diskursethik. Frankfurt 1983 </w:t>
      </w:r>
    </w:p>
    <w:p w:rsidR="002D74E0" w:rsidRDefault="002D74E0" w:rsidP="00757FFB">
      <w:pPr>
        <w:jc w:val="both"/>
        <w:rPr>
          <w:sz w:val="20"/>
          <w:szCs w:val="20"/>
        </w:rPr>
      </w:pPr>
    </w:p>
    <w:p w:rsidR="00C24EFC" w:rsidRDefault="00C24EFC" w:rsidP="00757FFB">
      <w:pPr>
        <w:jc w:val="both"/>
        <w:rPr>
          <w:sz w:val="20"/>
          <w:szCs w:val="20"/>
        </w:rPr>
      </w:pPr>
      <w:bookmarkStart w:id="0" w:name="_GoBack"/>
      <w:bookmarkEnd w:id="0"/>
    </w:p>
    <w:p w:rsidR="002D74E0" w:rsidRDefault="002D74E0" w:rsidP="00757FFB">
      <w:pPr>
        <w:jc w:val="both"/>
        <w:rPr>
          <w:sz w:val="24"/>
          <w:szCs w:val="24"/>
          <w:u w:val="single"/>
        </w:rPr>
      </w:pPr>
      <w:r>
        <w:rPr>
          <w:sz w:val="24"/>
          <w:szCs w:val="24"/>
          <w:u w:val="single"/>
        </w:rPr>
        <w:t>Aufgaben:</w:t>
      </w:r>
    </w:p>
    <w:p w:rsidR="002D74E0" w:rsidRDefault="00751049" w:rsidP="002D74E0">
      <w:pPr>
        <w:pStyle w:val="Listenabsatz"/>
        <w:numPr>
          <w:ilvl w:val="0"/>
          <w:numId w:val="2"/>
        </w:numPr>
        <w:jc w:val="both"/>
        <w:rPr>
          <w:sz w:val="24"/>
          <w:szCs w:val="24"/>
        </w:rPr>
      </w:pPr>
      <w:proofErr w:type="spellStart"/>
      <w:r>
        <w:rPr>
          <w:sz w:val="24"/>
          <w:szCs w:val="24"/>
        </w:rPr>
        <w:t>Lies</w:t>
      </w:r>
      <w:proofErr w:type="spellEnd"/>
      <w:r>
        <w:rPr>
          <w:sz w:val="24"/>
          <w:szCs w:val="24"/>
        </w:rPr>
        <w:t xml:space="preserve"> den Text aufmerksam, kläre die Fremdwörter und formuliere eine Überschrift.</w:t>
      </w:r>
    </w:p>
    <w:p w:rsidR="002D74E0" w:rsidRDefault="00751049" w:rsidP="002D74E0">
      <w:pPr>
        <w:pStyle w:val="Listenabsatz"/>
        <w:numPr>
          <w:ilvl w:val="0"/>
          <w:numId w:val="2"/>
        </w:numPr>
        <w:jc w:val="both"/>
        <w:rPr>
          <w:sz w:val="24"/>
          <w:szCs w:val="24"/>
        </w:rPr>
      </w:pPr>
      <w:r>
        <w:rPr>
          <w:sz w:val="24"/>
          <w:szCs w:val="24"/>
        </w:rPr>
        <w:t>Grundlegendes Medium der Diskursethik ist die argumentierende Sprache. Worin unterscheidet sie sich von der sog. „kommunikativen Alltagspraxis“ (z.B. „Wie ist heute das Wetter?“)?</w:t>
      </w:r>
    </w:p>
    <w:p w:rsidR="00751049" w:rsidRDefault="00751049" w:rsidP="002D74E0">
      <w:pPr>
        <w:pStyle w:val="Listenabsatz"/>
        <w:numPr>
          <w:ilvl w:val="0"/>
          <w:numId w:val="2"/>
        </w:numPr>
        <w:jc w:val="both"/>
        <w:rPr>
          <w:sz w:val="24"/>
          <w:szCs w:val="24"/>
        </w:rPr>
      </w:pPr>
      <w:r>
        <w:rPr>
          <w:sz w:val="24"/>
          <w:szCs w:val="24"/>
        </w:rPr>
        <w:t>Zeige in einer Tabelle von welchen idealen Sprechsituationen der Text ausgeht und stelle ihnen reale Situationen gegenüber:</w:t>
      </w:r>
    </w:p>
    <w:p w:rsidR="00751049" w:rsidRDefault="00751049" w:rsidP="00751049">
      <w:pPr>
        <w:pStyle w:val="Listenabsatz"/>
        <w:jc w:val="both"/>
        <w:rPr>
          <w:sz w:val="24"/>
          <w:szCs w:val="24"/>
        </w:rPr>
      </w:pPr>
    </w:p>
    <w:tbl>
      <w:tblPr>
        <w:tblStyle w:val="Tabellenraster"/>
        <w:tblW w:w="0" w:type="auto"/>
        <w:tblInd w:w="720" w:type="dxa"/>
        <w:tblLook w:val="04A0" w:firstRow="1" w:lastRow="0" w:firstColumn="1" w:lastColumn="0" w:noHBand="0" w:noVBand="1"/>
      </w:tblPr>
      <w:tblGrid>
        <w:gridCol w:w="4211"/>
        <w:gridCol w:w="4131"/>
      </w:tblGrid>
      <w:tr w:rsidR="00751049" w:rsidTr="00751049">
        <w:tc>
          <w:tcPr>
            <w:tcW w:w="4531" w:type="dxa"/>
          </w:tcPr>
          <w:p w:rsidR="00751049" w:rsidRPr="00751049" w:rsidRDefault="00751049" w:rsidP="00751049">
            <w:pPr>
              <w:pStyle w:val="Listenabsatz"/>
              <w:ind w:left="0"/>
              <w:jc w:val="both"/>
              <w:rPr>
                <w:sz w:val="28"/>
                <w:szCs w:val="28"/>
              </w:rPr>
            </w:pPr>
            <w:r>
              <w:rPr>
                <w:sz w:val="28"/>
                <w:szCs w:val="28"/>
              </w:rPr>
              <w:t xml:space="preserve">        </w:t>
            </w:r>
            <w:r w:rsidRPr="00751049">
              <w:rPr>
                <w:sz w:val="28"/>
                <w:szCs w:val="28"/>
              </w:rPr>
              <w:t>Ideale Sprechsituation</w:t>
            </w:r>
          </w:p>
        </w:tc>
        <w:tc>
          <w:tcPr>
            <w:tcW w:w="4531" w:type="dxa"/>
          </w:tcPr>
          <w:p w:rsidR="00751049" w:rsidRPr="00751049" w:rsidRDefault="00751049" w:rsidP="00751049">
            <w:pPr>
              <w:pStyle w:val="Listenabsatz"/>
              <w:ind w:left="0"/>
              <w:jc w:val="both"/>
              <w:rPr>
                <w:sz w:val="28"/>
                <w:szCs w:val="28"/>
              </w:rPr>
            </w:pPr>
            <w:r>
              <w:rPr>
                <w:sz w:val="28"/>
                <w:szCs w:val="28"/>
              </w:rPr>
              <w:t xml:space="preserve">          </w:t>
            </w:r>
            <w:r w:rsidRPr="00751049">
              <w:rPr>
                <w:sz w:val="28"/>
                <w:szCs w:val="28"/>
              </w:rPr>
              <w:t>Reale Sprechsituation</w:t>
            </w:r>
          </w:p>
        </w:tc>
      </w:tr>
      <w:tr w:rsidR="00751049" w:rsidTr="00751049">
        <w:tc>
          <w:tcPr>
            <w:tcW w:w="4531" w:type="dxa"/>
          </w:tcPr>
          <w:p w:rsidR="00751049" w:rsidRPr="00751049" w:rsidRDefault="00751049" w:rsidP="00751049">
            <w:pPr>
              <w:pStyle w:val="Listenabsatz"/>
              <w:numPr>
                <w:ilvl w:val="0"/>
                <w:numId w:val="3"/>
              </w:numPr>
              <w:jc w:val="both"/>
              <w:rPr>
                <w:i/>
                <w:sz w:val="24"/>
                <w:szCs w:val="24"/>
              </w:rPr>
            </w:pPr>
            <w:r w:rsidRPr="00751049">
              <w:rPr>
                <w:i/>
                <w:sz w:val="24"/>
                <w:szCs w:val="24"/>
              </w:rPr>
              <w:t>Alle Teilnehmer gleichberechtigt</w:t>
            </w:r>
          </w:p>
        </w:tc>
        <w:tc>
          <w:tcPr>
            <w:tcW w:w="4531" w:type="dxa"/>
          </w:tcPr>
          <w:p w:rsidR="00751049" w:rsidRPr="00751049" w:rsidRDefault="00751049" w:rsidP="00751049">
            <w:pPr>
              <w:pStyle w:val="Listenabsatz"/>
              <w:numPr>
                <w:ilvl w:val="0"/>
                <w:numId w:val="3"/>
              </w:numPr>
              <w:jc w:val="both"/>
              <w:rPr>
                <w:i/>
                <w:sz w:val="24"/>
                <w:szCs w:val="24"/>
              </w:rPr>
            </w:pPr>
            <w:r>
              <w:rPr>
                <w:i/>
                <w:sz w:val="24"/>
                <w:szCs w:val="24"/>
              </w:rPr>
              <w:t>Ungleiche Chancen oder Rechte</w:t>
            </w:r>
          </w:p>
        </w:tc>
      </w:tr>
      <w:tr w:rsidR="00751049" w:rsidTr="00751049">
        <w:tc>
          <w:tcPr>
            <w:tcW w:w="4531" w:type="dxa"/>
          </w:tcPr>
          <w:p w:rsidR="00751049" w:rsidRDefault="00751049" w:rsidP="00751049">
            <w:pPr>
              <w:pStyle w:val="Listenabsatz"/>
              <w:ind w:left="0"/>
              <w:jc w:val="both"/>
              <w:rPr>
                <w:sz w:val="24"/>
                <w:szCs w:val="24"/>
              </w:rPr>
            </w:pPr>
            <w:r>
              <w:rPr>
                <w:sz w:val="24"/>
                <w:szCs w:val="24"/>
              </w:rPr>
              <w:t>-</w:t>
            </w:r>
          </w:p>
        </w:tc>
        <w:tc>
          <w:tcPr>
            <w:tcW w:w="4531" w:type="dxa"/>
          </w:tcPr>
          <w:p w:rsidR="00751049" w:rsidRDefault="00751049" w:rsidP="00751049">
            <w:pPr>
              <w:pStyle w:val="Listenabsatz"/>
              <w:ind w:left="0"/>
              <w:jc w:val="both"/>
              <w:rPr>
                <w:sz w:val="24"/>
                <w:szCs w:val="24"/>
              </w:rPr>
            </w:pPr>
            <w:r>
              <w:rPr>
                <w:sz w:val="24"/>
                <w:szCs w:val="24"/>
              </w:rPr>
              <w:t>-</w:t>
            </w:r>
          </w:p>
        </w:tc>
      </w:tr>
      <w:tr w:rsidR="00751049" w:rsidTr="00751049">
        <w:tc>
          <w:tcPr>
            <w:tcW w:w="4531" w:type="dxa"/>
          </w:tcPr>
          <w:p w:rsidR="00751049" w:rsidRDefault="00751049" w:rsidP="00751049">
            <w:pPr>
              <w:pStyle w:val="Listenabsatz"/>
              <w:ind w:left="0"/>
              <w:jc w:val="both"/>
              <w:rPr>
                <w:sz w:val="24"/>
                <w:szCs w:val="24"/>
              </w:rPr>
            </w:pPr>
            <w:r>
              <w:rPr>
                <w:sz w:val="24"/>
                <w:szCs w:val="24"/>
              </w:rPr>
              <w:t>-</w:t>
            </w:r>
          </w:p>
        </w:tc>
        <w:tc>
          <w:tcPr>
            <w:tcW w:w="4531" w:type="dxa"/>
          </w:tcPr>
          <w:p w:rsidR="00751049" w:rsidRDefault="00751049" w:rsidP="00751049">
            <w:pPr>
              <w:pStyle w:val="Listenabsatz"/>
              <w:ind w:left="0"/>
              <w:jc w:val="both"/>
              <w:rPr>
                <w:sz w:val="24"/>
                <w:szCs w:val="24"/>
              </w:rPr>
            </w:pPr>
            <w:r>
              <w:rPr>
                <w:sz w:val="24"/>
                <w:szCs w:val="24"/>
              </w:rPr>
              <w:t>-</w:t>
            </w:r>
          </w:p>
        </w:tc>
      </w:tr>
      <w:tr w:rsidR="00751049" w:rsidTr="00751049">
        <w:tc>
          <w:tcPr>
            <w:tcW w:w="4531" w:type="dxa"/>
          </w:tcPr>
          <w:p w:rsidR="00751049" w:rsidRDefault="00751049" w:rsidP="00751049">
            <w:pPr>
              <w:pStyle w:val="Listenabsatz"/>
              <w:ind w:left="0"/>
              <w:jc w:val="both"/>
              <w:rPr>
                <w:sz w:val="24"/>
                <w:szCs w:val="24"/>
              </w:rPr>
            </w:pPr>
          </w:p>
        </w:tc>
        <w:tc>
          <w:tcPr>
            <w:tcW w:w="4531" w:type="dxa"/>
          </w:tcPr>
          <w:p w:rsidR="00751049" w:rsidRDefault="00751049" w:rsidP="00751049">
            <w:pPr>
              <w:pStyle w:val="Listenabsatz"/>
              <w:ind w:left="0"/>
              <w:jc w:val="both"/>
              <w:rPr>
                <w:sz w:val="24"/>
                <w:szCs w:val="24"/>
              </w:rPr>
            </w:pPr>
          </w:p>
        </w:tc>
      </w:tr>
    </w:tbl>
    <w:p w:rsidR="00751049" w:rsidRDefault="00751049" w:rsidP="00751049">
      <w:pPr>
        <w:pStyle w:val="Listenabsatz"/>
        <w:jc w:val="both"/>
        <w:rPr>
          <w:sz w:val="24"/>
          <w:szCs w:val="24"/>
        </w:rPr>
      </w:pPr>
    </w:p>
    <w:p w:rsidR="00751049" w:rsidRPr="002D74E0" w:rsidRDefault="00751049" w:rsidP="002D74E0">
      <w:pPr>
        <w:pStyle w:val="Listenabsatz"/>
        <w:numPr>
          <w:ilvl w:val="0"/>
          <w:numId w:val="2"/>
        </w:numPr>
        <w:jc w:val="both"/>
        <w:rPr>
          <w:sz w:val="24"/>
          <w:szCs w:val="24"/>
        </w:rPr>
      </w:pPr>
      <w:r>
        <w:rPr>
          <w:sz w:val="24"/>
          <w:szCs w:val="24"/>
        </w:rPr>
        <w:t>Der Autor bindet sein Moralprinzip an ein allgemeines Normenprinzip zurück. Um welches handelt es sich? Zeige Parallelen auf.</w:t>
      </w:r>
    </w:p>
    <w:sectPr w:rsidR="00751049" w:rsidRPr="002D74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654" w:rsidRDefault="00514654" w:rsidP="00514654">
      <w:pPr>
        <w:spacing w:after="0" w:line="240" w:lineRule="auto"/>
      </w:pPr>
      <w:r>
        <w:separator/>
      </w:r>
    </w:p>
  </w:endnote>
  <w:endnote w:type="continuationSeparator" w:id="0">
    <w:p w:rsidR="00514654" w:rsidRDefault="00514654" w:rsidP="0051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654" w:rsidRDefault="00514654" w:rsidP="00514654">
      <w:pPr>
        <w:spacing w:after="0" w:line="240" w:lineRule="auto"/>
      </w:pPr>
      <w:r>
        <w:separator/>
      </w:r>
    </w:p>
  </w:footnote>
  <w:footnote w:type="continuationSeparator" w:id="0">
    <w:p w:rsidR="00514654" w:rsidRDefault="00514654" w:rsidP="0051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Kopfzeile"/>
    </w:pPr>
    <w:r>
      <w:rPr>
        <w:caps/>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654" w:rsidRDefault="00514654" w:rsidP="00514654">
                            <w:pPr>
                              <w:pStyle w:val="Kopfzeile"/>
                              <w:jc w:val="center"/>
                              <w:rPr>
                                <w:color w:val="FFFFFF" w:themeColor="background1"/>
                                <w:sz w:val="24"/>
                                <w:szCs w:val="24"/>
                              </w:rPr>
                            </w:pPr>
                            <w:r>
                              <w:rPr>
                                <w:color w:val="FFFFFF" w:themeColor="background1"/>
                                <w:sz w:val="24"/>
                                <w:szCs w:val="24"/>
                              </w:rPr>
                              <w:t>M 5 55</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51049">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514654" w:rsidRDefault="00514654" w:rsidP="00514654">
                      <w:pPr>
                        <w:pStyle w:val="Kopfzeile"/>
                        <w:jc w:val="center"/>
                        <w:rPr>
                          <w:color w:val="FFFFFF" w:themeColor="background1"/>
                          <w:sz w:val="24"/>
                          <w:szCs w:val="24"/>
                        </w:rPr>
                      </w:pPr>
                      <w:r>
                        <w:rPr>
                          <w:color w:val="FFFFFF" w:themeColor="background1"/>
                          <w:sz w:val="24"/>
                          <w:szCs w:val="24"/>
                        </w:rPr>
                        <w:t>M 5 55</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751049">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4" w:rsidRDefault="005146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58B1"/>
    <w:multiLevelType w:val="hybridMultilevel"/>
    <w:tmpl w:val="2F985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190ACD"/>
    <w:multiLevelType w:val="hybridMultilevel"/>
    <w:tmpl w:val="956A930E"/>
    <w:lvl w:ilvl="0" w:tplc="32D817E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552F7"/>
    <w:multiLevelType w:val="hybridMultilevel"/>
    <w:tmpl w:val="D0CA7218"/>
    <w:lvl w:ilvl="0" w:tplc="6032E15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FB"/>
    <w:rsid w:val="002039A6"/>
    <w:rsid w:val="002D74E0"/>
    <w:rsid w:val="00514654"/>
    <w:rsid w:val="00751049"/>
    <w:rsid w:val="00757FFB"/>
    <w:rsid w:val="00C24EFC"/>
    <w:rsid w:val="00E64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C1CD2"/>
  <w15:chartTrackingRefBased/>
  <w15:docId w15:val="{B3D9A8D6-3D0B-4865-BCEB-4344ECC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7FFB"/>
    <w:pPr>
      <w:ind w:left="720"/>
      <w:contextualSpacing/>
    </w:pPr>
  </w:style>
  <w:style w:type="paragraph" w:styleId="Kopfzeile">
    <w:name w:val="header"/>
    <w:basedOn w:val="Standard"/>
    <w:link w:val="KopfzeileZchn"/>
    <w:uiPriority w:val="99"/>
    <w:unhideWhenUsed/>
    <w:rsid w:val="00514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654"/>
  </w:style>
  <w:style w:type="paragraph" w:styleId="Fuzeile">
    <w:name w:val="footer"/>
    <w:basedOn w:val="Standard"/>
    <w:link w:val="FuzeileZchn"/>
    <w:uiPriority w:val="99"/>
    <w:unhideWhenUsed/>
    <w:rsid w:val="00514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654"/>
  </w:style>
  <w:style w:type="paragraph" w:styleId="Sprechblasentext">
    <w:name w:val="Balloon Text"/>
    <w:basedOn w:val="Standard"/>
    <w:link w:val="SprechblasentextZchn"/>
    <w:uiPriority w:val="99"/>
    <w:semiHidden/>
    <w:unhideWhenUsed/>
    <w:rsid w:val="002D74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4E0"/>
    <w:rPr>
      <w:rFonts w:ascii="Segoe UI" w:hAnsi="Segoe UI" w:cs="Segoe UI"/>
      <w:sz w:val="18"/>
      <w:szCs w:val="18"/>
    </w:rPr>
  </w:style>
  <w:style w:type="table" w:styleId="Tabellenraster">
    <w:name w:val="Table Grid"/>
    <w:basedOn w:val="NormaleTabelle"/>
    <w:uiPriority w:val="39"/>
    <w:rsid w:val="0075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2017-12-01T14:02:00Z</cp:lastPrinted>
  <dcterms:created xsi:type="dcterms:W3CDTF">2019-07-03T10:16:00Z</dcterms:created>
  <dcterms:modified xsi:type="dcterms:W3CDTF">2019-07-03T10:16:00Z</dcterms:modified>
</cp:coreProperties>
</file>