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AD80" w14:textId="421F1339" w:rsidR="008F054F" w:rsidRDefault="00DD0E28" w:rsidP="00DD0E28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36548970"/>
      <w:bookmarkEnd w:id="0"/>
      <w:r w:rsidRPr="00B013CD">
        <w:rPr>
          <w:rFonts w:ascii="Arial" w:hAnsi="Arial" w:cs="Arial"/>
          <w:b/>
          <w:bCs/>
          <w:sz w:val="28"/>
          <w:szCs w:val="28"/>
        </w:rPr>
        <w:t xml:space="preserve">Material </w:t>
      </w:r>
      <w:r w:rsidR="00D17074">
        <w:rPr>
          <w:rFonts w:ascii="Arial" w:hAnsi="Arial" w:cs="Arial"/>
          <w:b/>
          <w:bCs/>
          <w:sz w:val="28"/>
          <w:szCs w:val="28"/>
        </w:rPr>
        <w:t>5</w:t>
      </w:r>
      <w:r w:rsidRPr="00B013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05496D">
        <w:rPr>
          <w:rFonts w:ascii="Arial" w:hAnsi="Arial" w:cs="Arial"/>
          <w:b/>
          <w:bCs/>
          <w:sz w:val="28"/>
          <w:szCs w:val="28"/>
        </w:rPr>
        <w:t>Version A</w:t>
      </w:r>
    </w:p>
    <w:p w14:paraId="48E3F3F3" w14:textId="2956A077" w:rsidR="00DD0E28" w:rsidRPr="008F054F" w:rsidRDefault="00DD0E28" w:rsidP="00DD0E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54F">
        <w:rPr>
          <w:rFonts w:ascii="Arial" w:hAnsi="Arial" w:cs="Arial"/>
          <w:b/>
          <w:bCs/>
          <w:sz w:val="24"/>
          <w:szCs w:val="24"/>
        </w:rPr>
        <w:t xml:space="preserve">Verwendung von CRISPR-Cas9 zur genetischen Veränderung des </w:t>
      </w:r>
      <w:r w:rsidRPr="008F054F">
        <w:rPr>
          <w:rFonts w:ascii="Arial" w:hAnsi="Arial" w:cs="Arial"/>
          <w:b/>
          <w:bCs/>
          <w:i/>
          <w:iCs/>
          <w:sz w:val="24"/>
          <w:szCs w:val="24"/>
        </w:rPr>
        <w:t>doublesex</w:t>
      </w:r>
      <w:r w:rsidRPr="008F054F">
        <w:rPr>
          <w:rFonts w:ascii="Arial" w:hAnsi="Arial" w:cs="Arial"/>
          <w:b/>
          <w:bCs/>
          <w:sz w:val="24"/>
          <w:szCs w:val="24"/>
        </w:rPr>
        <w:t>-Gens</w:t>
      </w:r>
    </w:p>
    <w:p w14:paraId="6C129C0C" w14:textId="77777777" w:rsidR="00DD0E28" w:rsidRPr="00B013CD" w:rsidRDefault="00DD0E28" w:rsidP="00DD0E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BE787" w14:textId="1B419DB5" w:rsidR="00B769C3" w:rsidRPr="00B769C3" w:rsidRDefault="00B769C3" w:rsidP="00B769C3">
      <w:pPr>
        <w:spacing w:after="0" w:line="360" w:lineRule="auto"/>
        <w:jc w:val="both"/>
        <w:rPr>
          <w:rStyle w:val="st"/>
          <w:rFonts w:ascii="Arial" w:hAnsi="Arial" w:cs="Arial"/>
          <w:b/>
          <w:bCs/>
          <w:sz w:val="20"/>
          <w:szCs w:val="20"/>
        </w:rPr>
      </w:pPr>
      <w:r w:rsidRPr="00B769C3">
        <w:rPr>
          <w:rStyle w:val="st"/>
          <w:rFonts w:ascii="Arial" w:hAnsi="Arial" w:cs="Arial"/>
          <w:b/>
          <w:bCs/>
          <w:sz w:val="20"/>
          <w:szCs w:val="20"/>
        </w:rPr>
        <w:t>Wiederholung:</w:t>
      </w:r>
    </w:p>
    <w:p w14:paraId="289B4630" w14:textId="3083B4E5" w:rsidR="00073616" w:rsidRPr="008F054F" w:rsidRDefault="00DD0E28" w:rsidP="00073616">
      <w:pPr>
        <w:spacing w:after="0" w:line="360" w:lineRule="auto"/>
        <w:jc w:val="both"/>
        <w:rPr>
          <w:rStyle w:val="st"/>
          <w:rFonts w:ascii="Arial" w:hAnsi="Arial" w:cs="Arial"/>
          <w:i/>
          <w:iCs/>
          <w:sz w:val="20"/>
          <w:szCs w:val="20"/>
        </w:rPr>
      </w:pPr>
      <w:r w:rsidRPr="008F054F">
        <w:rPr>
          <w:rStyle w:val="st"/>
          <w:rFonts w:ascii="Arial" w:hAnsi="Arial" w:cs="Arial"/>
          <w:i/>
          <w:iCs/>
          <w:sz w:val="20"/>
          <w:szCs w:val="20"/>
        </w:rPr>
        <w:t>In den Materialien 1 und 2 haben wir uns mit der Sexualentwicklung der Anophelesmücken beschäftigt und dabei gelernt, dass durch alternatives Spleißen der prä-mRNA des doublesex-</w:t>
      </w:r>
      <w:r w:rsidR="00665045">
        <w:rPr>
          <w:rStyle w:val="st"/>
          <w:rFonts w:ascii="Arial" w:hAnsi="Arial" w:cs="Arial"/>
          <w:i/>
          <w:iCs/>
          <w:sz w:val="20"/>
          <w:szCs w:val="20"/>
        </w:rPr>
        <w:t>G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>ens von Anopheles gambiae zwei unterschiedliche Proteine (dsx-male und dsx-female) gebildet werden, welche die Ausprägung des männlichen und weiblichen Phänotyps bedingen. Um lebensfähige, aber unfruchtbare Weibchen zu erzeugen, sollte der Spleißvorgang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, der letzlich zur </w:t>
      </w:r>
      <w:r w:rsidR="0086467B" w:rsidRPr="008F054F">
        <w:rPr>
          <w:rStyle w:val="st"/>
          <w:rFonts w:ascii="Arial" w:hAnsi="Arial" w:cs="Arial"/>
          <w:i/>
          <w:iCs/>
          <w:sz w:val="20"/>
          <w:szCs w:val="20"/>
        </w:rPr>
        <w:t>B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>ildung de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r mRNA des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 Proteins dsx-fe</w:t>
      </w:r>
      <w:r w:rsidR="0086467B" w:rsidRPr="008F054F">
        <w:rPr>
          <w:rStyle w:val="st"/>
          <w:rFonts w:ascii="Arial" w:hAnsi="Arial" w:cs="Arial"/>
          <w:i/>
          <w:iCs/>
          <w:sz w:val="20"/>
          <w:szCs w:val="20"/>
        </w:rPr>
        <w:t>m</w:t>
      </w:r>
      <w:r w:rsidRPr="008F054F">
        <w:rPr>
          <w:rStyle w:val="st"/>
          <w:rFonts w:ascii="Arial" w:hAnsi="Arial" w:cs="Arial"/>
          <w:i/>
          <w:iCs/>
          <w:sz w:val="20"/>
          <w:szCs w:val="20"/>
        </w:rPr>
        <w:t xml:space="preserve">ale 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führt, durch Veränderung der Basensequenz im Übergang von Intron 4</w:t>
      </w:r>
      <w:r w:rsidR="00621A6E">
        <w:rPr>
          <w:rStyle w:val="st"/>
          <w:rFonts w:ascii="Arial" w:hAnsi="Arial" w:cs="Arial"/>
          <w:i/>
          <w:iCs/>
          <w:sz w:val="20"/>
          <w:szCs w:val="20"/>
        </w:rPr>
        <w:t xml:space="preserve"> </w:t>
      </w:r>
      <w:r w:rsidR="00B769C3" w:rsidRPr="008F054F">
        <w:rPr>
          <w:rStyle w:val="st"/>
          <w:rFonts w:ascii="Arial" w:hAnsi="Arial" w:cs="Arial"/>
          <w:i/>
          <w:iCs/>
          <w:sz w:val="20"/>
          <w:szCs w:val="20"/>
        </w:rPr>
        <w:t>zu Exon 5 unterbunden werden.</w:t>
      </w:r>
      <w:r w:rsidR="00073616" w:rsidRPr="008F054F">
        <w:rPr>
          <w:rStyle w:val="st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F054F" w:rsidRPr="008F054F">
        <w:rPr>
          <w:rStyle w:val="st"/>
          <w:rFonts w:ascii="Arial" w:hAnsi="Arial" w:cs="Arial"/>
          <w:i/>
          <w:iCs/>
          <w:sz w:val="20"/>
          <w:szCs w:val="20"/>
        </w:rPr>
        <w:t>Hierfür werden Kenntnisse der Basenabfolge dieses Bereichs benötigt.</w:t>
      </w:r>
    </w:p>
    <w:p w14:paraId="32934237" w14:textId="77777777" w:rsidR="00073616" w:rsidRPr="009E1211" w:rsidRDefault="00073616" w:rsidP="00BD3B1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8AE8FDC" w14:textId="77777777" w:rsidR="00073616" w:rsidRPr="00BD3B19" w:rsidRDefault="00073616" w:rsidP="00BD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"/>
          <w:rFonts w:ascii="Arial" w:hAnsi="Arial" w:cs="Arial"/>
          <w:b/>
          <w:bCs/>
          <w:sz w:val="12"/>
          <w:szCs w:val="12"/>
        </w:rPr>
      </w:pPr>
    </w:p>
    <w:p w14:paraId="7091E643" w14:textId="5DD71523" w:rsidR="00073616" w:rsidRDefault="00073616" w:rsidP="00BD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st"/>
          <w:rFonts w:ascii="Arial" w:hAnsi="Arial" w:cs="Arial"/>
          <w:b/>
          <w:bCs/>
          <w:sz w:val="20"/>
          <w:szCs w:val="20"/>
        </w:rPr>
      </w:pPr>
      <w:r>
        <w:rPr>
          <w:rStyle w:val="st"/>
          <w:rFonts w:ascii="Arial" w:hAnsi="Arial" w:cs="Arial"/>
          <w:b/>
          <w:bCs/>
          <w:sz w:val="20"/>
          <w:szCs w:val="20"/>
        </w:rPr>
        <w:t xml:space="preserve"> Abbildung 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>1</w:t>
      </w:r>
      <w:r>
        <w:rPr>
          <w:rStyle w:val="st"/>
          <w:rFonts w:ascii="Arial" w:hAnsi="Arial" w:cs="Arial"/>
          <w:b/>
          <w:bCs/>
          <w:sz w:val="20"/>
          <w:szCs w:val="20"/>
        </w:rPr>
        <w:t xml:space="preserve"> – Basensequenz im Intron-4-Exon-5-Übergang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 xml:space="preserve"> des doubl</w:t>
      </w:r>
      <w:r w:rsidR="008D748F">
        <w:rPr>
          <w:rStyle w:val="st"/>
          <w:rFonts w:ascii="Arial" w:hAnsi="Arial" w:cs="Arial"/>
          <w:b/>
          <w:bCs/>
          <w:sz w:val="20"/>
          <w:szCs w:val="20"/>
        </w:rPr>
        <w:t>e</w:t>
      </w:r>
      <w:r w:rsidR="009E1211">
        <w:rPr>
          <w:rStyle w:val="st"/>
          <w:rFonts w:ascii="Arial" w:hAnsi="Arial" w:cs="Arial"/>
          <w:b/>
          <w:bCs/>
          <w:sz w:val="20"/>
          <w:szCs w:val="20"/>
        </w:rPr>
        <w:t>sex-Gens</w:t>
      </w:r>
    </w:p>
    <w:p w14:paraId="11AE1A5E" w14:textId="77777777" w:rsidR="00073616" w:rsidRPr="008F054F" w:rsidRDefault="00073616" w:rsidP="00BD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"/>
          <w:rFonts w:ascii="Arial" w:hAnsi="Arial" w:cs="Arial"/>
          <w:b/>
          <w:bCs/>
          <w:sz w:val="16"/>
          <w:szCs w:val="16"/>
        </w:rPr>
      </w:pPr>
    </w:p>
    <w:p w14:paraId="5130D6D1" w14:textId="6A435ED4" w:rsidR="00073616" w:rsidRDefault="00073616" w:rsidP="00BD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Style w:val="st"/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1767D45" wp14:editId="02220A98">
            <wp:extent cx="3545205" cy="92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3902"/>
                    <a:stretch/>
                  </pic:blipFill>
                  <pic:spPr bwMode="auto">
                    <a:xfrm>
                      <a:off x="0" y="0"/>
                      <a:ext cx="3651671" cy="9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B0B42" w14:textId="2839E20E" w:rsidR="00BD3B19" w:rsidRDefault="00BD3B19" w:rsidP="00BD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059F6E25" w14:textId="346C9E49" w:rsidR="007024A2" w:rsidRPr="00CA5734" w:rsidRDefault="007024A2" w:rsidP="00BD3B1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7643FDD" w14:textId="77777777" w:rsidR="00B43884" w:rsidRPr="00B43884" w:rsidRDefault="00B43884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3711C9E6" w14:textId="3F4644BE" w:rsidR="007024A2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7024A2" w:rsidRPr="001047B3"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="007024A2">
        <w:rPr>
          <w:rFonts w:ascii="Arial" w:hAnsi="Arial" w:cs="Arial"/>
          <w:b/>
          <w:bCs/>
          <w:sz w:val="20"/>
          <w:szCs w:val="20"/>
          <w:lang w:val="de-DE"/>
        </w:rPr>
        <w:t>bbildung</w:t>
      </w:r>
      <w:r w:rsidR="007024A2" w:rsidRPr="001047B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7024A2">
        <w:rPr>
          <w:rFonts w:ascii="Arial" w:hAnsi="Arial" w:cs="Arial"/>
          <w:b/>
          <w:bCs/>
          <w:sz w:val="20"/>
          <w:szCs w:val="20"/>
          <w:lang w:val="de-DE"/>
        </w:rPr>
        <w:t xml:space="preserve">2- </w:t>
      </w:r>
      <w:r w:rsidR="007024A2">
        <w:rPr>
          <w:rFonts w:ascii="Arial" w:hAnsi="Arial" w:cs="Arial"/>
          <w:b/>
          <w:bCs/>
          <w:sz w:val="20"/>
          <w:szCs w:val="20"/>
        </w:rPr>
        <w:t>B</w:t>
      </w:r>
      <w:r w:rsidR="007024A2" w:rsidRPr="0019539E">
        <w:rPr>
          <w:rFonts w:ascii="Arial" w:hAnsi="Arial" w:cs="Arial"/>
          <w:b/>
          <w:bCs/>
          <w:sz w:val="20"/>
          <w:szCs w:val="20"/>
        </w:rPr>
        <w:t>eispiel für eine guide-RNA-Bestellung</w:t>
      </w:r>
      <w:r w:rsidR="007024A2">
        <w:rPr>
          <w:rFonts w:ascii="Arial" w:hAnsi="Arial" w:cs="Arial"/>
          <w:b/>
          <w:bCs/>
          <w:sz w:val="20"/>
          <w:szCs w:val="20"/>
        </w:rPr>
        <w:t xml:space="preserve"> bei der Firma «World of CRISPR technologies»</w:t>
      </w:r>
    </w:p>
    <w:p w14:paraId="4CF6CAD7" w14:textId="77777777" w:rsidR="007024A2" w:rsidRPr="00BD3B19" w:rsidRDefault="007024A2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  <w:lang w:val="de-DE"/>
        </w:rPr>
      </w:pPr>
    </w:p>
    <w:p w14:paraId="48DEB07C" w14:textId="79EE0ED2" w:rsidR="007024A2" w:rsidRDefault="007024A2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B00B21" wp14:editId="13A7987B">
            <wp:extent cx="473392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6CE3" w14:textId="77777777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</w:p>
    <w:p w14:paraId="2E16279A" w14:textId="665D66B4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2FFFD05C" w14:textId="77777777" w:rsidR="00B43884" w:rsidRPr="00CA5734" w:rsidRDefault="00B43884" w:rsidP="00BD3B19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2AF1C40F" w14:textId="77777777" w:rsidR="00BD3B19" w:rsidRPr="00CA5734" w:rsidRDefault="00BD3B19" w:rsidP="00CA57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A573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E3AB37B" w14:textId="591F905A" w:rsidR="007024A2" w:rsidRDefault="007024A2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43884">
        <w:rPr>
          <w:rFonts w:ascii="Arial" w:hAnsi="Arial" w:cs="Arial"/>
          <w:b/>
          <w:bCs/>
          <w:sz w:val="20"/>
          <w:szCs w:val="20"/>
        </w:rPr>
        <w:t xml:space="preserve">Abbildung 3 – Einsatz der </w:t>
      </w:r>
      <w:r w:rsidR="00B43884" w:rsidRPr="00B43884">
        <w:rPr>
          <w:rFonts w:ascii="Arial" w:hAnsi="Arial" w:cs="Arial"/>
          <w:b/>
          <w:bCs/>
          <w:sz w:val="20"/>
          <w:szCs w:val="20"/>
        </w:rPr>
        <w:t xml:space="preserve">bestellten </w:t>
      </w:r>
      <w:r w:rsidRPr="00B43884">
        <w:rPr>
          <w:rFonts w:ascii="Arial" w:hAnsi="Arial" w:cs="Arial"/>
          <w:b/>
          <w:bCs/>
          <w:sz w:val="20"/>
          <w:szCs w:val="20"/>
        </w:rPr>
        <w:t xml:space="preserve">guide-RNA am Gen </w:t>
      </w:r>
      <w:r w:rsidRPr="00B43884">
        <w:rPr>
          <w:rFonts w:ascii="Arial" w:hAnsi="Arial" w:cs="Arial"/>
          <w:b/>
          <w:bCs/>
          <w:i/>
          <w:iCs/>
          <w:sz w:val="20"/>
          <w:szCs w:val="20"/>
        </w:rPr>
        <w:t>doublesex</w:t>
      </w:r>
    </w:p>
    <w:p w14:paraId="29B0441C" w14:textId="77777777" w:rsidR="00B43884" w:rsidRPr="00DA6209" w:rsidRDefault="00B43884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78FF8FEE" w14:textId="1FAF4665" w:rsidR="00156BEA" w:rsidRPr="00DA6209" w:rsidRDefault="00B43884" w:rsidP="00DA62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</w:t>
      </w:r>
      <w:r w:rsidR="007024A2">
        <w:rPr>
          <w:noProof/>
        </w:rPr>
        <w:drawing>
          <wp:inline distT="0" distB="0" distL="0" distR="0" wp14:anchorId="320925E7" wp14:editId="0B0EA483">
            <wp:extent cx="2409825" cy="1675303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97" cy="16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A57A" w14:textId="5676EF58" w:rsidR="00DA6209" w:rsidRDefault="00DA6209" w:rsidP="00DA62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>
        <w:rPr>
          <w:noProof/>
        </w:rPr>
        <w:drawing>
          <wp:inline distT="0" distB="0" distL="0" distR="0" wp14:anchorId="08B1822A" wp14:editId="36141C9C">
            <wp:extent cx="2760525" cy="95683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62" cy="9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A7CC" w14:textId="3C9A5188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7966B7AA" w14:textId="77777777" w:rsidR="00B43884" w:rsidRPr="00CA5734" w:rsidRDefault="00B43884" w:rsidP="00BD3B19">
      <w:pPr>
        <w:spacing w:after="0" w:line="360" w:lineRule="auto"/>
        <w:rPr>
          <w:rFonts w:ascii="Arial" w:hAnsi="Arial" w:cs="Arial"/>
          <w:b/>
          <w:bCs/>
          <w:sz w:val="8"/>
          <w:szCs w:val="8"/>
        </w:rPr>
      </w:pPr>
    </w:p>
    <w:p w14:paraId="53DAB178" w14:textId="77777777" w:rsidR="00BD3B19" w:rsidRP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B04783" w14:textId="334259C4" w:rsidR="00B43884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3884">
        <w:rPr>
          <w:rFonts w:ascii="Arial" w:hAnsi="Arial" w:cs="Arial"/>
          <w:b/>
          <w:bCs/>
          <w:sz w:val="20"/>
          <w:szCs w:val="20"/>
        </w:rPr>
        <w:t>Abbildung 4</w:t>
      </w:r>
      <w:r w:rsidR="007024A2">
        <w:rPr>
          <w:rFonts w:ascii="Arial" w:hAnsi="Arial" w:cs="Arial"/>
          <w:b/>
          <w:bCs/>
          <w:sz w:val="20"/>
          <w:szCs w:val="20"/>
        </w:rPr>
        <w:t xml:space="preserve"> </w:t>
      </w:r>
      <w:r w:rsidR="00B43884">
        <w:rPr>
          <w:rFonts w:ascii="Arial" w:hAnsi="Arial" w:cs="Arial"/>
          <w:b/>
          <w:bCs/>
          <w:sz w:val="20"/>
          <w:szCs w:val="20"/>
        </w:rPr>
        <w:t>–</w:t>
      </w:r>
      <w:r w:rsidR="007024A2">
        <w:rPr>
          <w:rFonts w:ascii="Arial" w:hAnsi="Arial" w:cs="Arial"/>
          <w:b/>
          <w:bCs/>
          <w:sz w:val="20"/>
          <w:szCs w:val="20"/>
        </w:rPr>
        <w:t xml:space="preserve"> </w:t>
      </w:r>
      <w:r w:rsidR="00B43884">
        <w:rPr>
          <w:rFonts w:ascii="Arial" w:hAnsi="Arial" w:cs="Arial"/>
          <w:b/>
          <w:bCs/>
          <w:sz w:val="20"/>
          <w:szCs w:val="20"/>
        </w:rPr>
        <w:t>Beispiel für eine Bestellung bei der Firma «Genetic solutions»</w:t>
      </w:r>
    </w:p>
    <w:p w14:paraId="5548962A" w14:textId="2FD1B12F" w:rsidR="007024A2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D3B19">
        <w:rPr>
          <w:rFonts w:ascii="Arial" w:hAnsi="Arial" w:cs="Arial"/>
          <w:sz w:val="20"/>
          <w:szCs w:val="20"/>
        </w:rPr>
        <w:t xml:space="preserve"> </w:t>
      </w:r>
      <w:r w:rsidR="007024A2" w:rsidRPr="00B43884">
        <w:rPr>
          <w:rFonts w:ascii="Arial" w:hAnsi="Arial" w:cs="Arial"/>
          <w:sz w:val="20"/>
          <w:szCs w:val="20"/>
          <w:u w:val="single"/>
        </w:rPr>
        <w:t>Mögliche</w:t>
      </w:r>
      <w:r w:rsidR="007024A2" w:rsidRPr="00B43884">
        <w:rPr>
          <w:rFonts w:ascii="Arial" w:hAnsi="Arial" w:cs="Arial"/>
          <w:sz w:val="20"/>
          <w:szCs w:val="20"/>
        </w:rPr>
        <w:t xml:space="preserve"> DNA-Sequenz für homologe Rekombination</w:t>
      </w:r>
    </w:p>
    <w:p w14:paraId="1A8726C0" w14:textId="77777777" w:rsidR="001063F3" w:rsidRPr="00B43884" w:rsidRDefault="001063F3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5CB59B61" w14:textId="1C1369E2" w:rsidR="007024A2" w:rsidRDefault="007024A2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063F3">
        <w:rPr>
          <w:rFonts w:ascii="Arial" w:hAnsi="Arial" w:cs="Arial"/>
          <w:b/>
          <w:bCs/>
          <w:sz w:val="20"/>
          <w:szCs w:val="20"/>
        </w:rPr>
        <w:t xml:space="preserve">  </w:t>
      </w:r>
      <w:r w:rsidR="001063F3">
        <w:rPr>
          <w:noProof/>
        </w:rPr>
        <w:drawing>
          <wp:inline distT="0" distB="0" distL="0" distR="0" wp14:anchorId="64EF0D3D" wp14:editId="1EF07B91">
            <wp:extent cx="5663565" cy="860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45" cy="8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12FB" w14:textId="3070B158" w:rsidR="00BD3B19" w:rsidRPr="001063F3" w:rsidRDefault="00B43884" w:rsidP="001063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 xml:space="preserve"> </w:t>
      </w:r>
    </w:p>
    <w:p w14:paraId="76562DAA" w14:textId="03321453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13F698F2" w14:textId="77777777" w:rsidR="00BD3B19" w:rsidRDefault="00BD3B19" w:rsidP="00BD3B1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C5CC961" w14:textId="77777777" w:rsidR="007024A2" w:rsidRPr="00B43884" w:rsidRDefault="007024A2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A67244" w14:textId="70449314" w:rsidR="007024A2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3884" w:rsidRPr="00B43884">
        <w:rPr>
          <w:rFonts w:ascii="Arial" w:hAnsi="Arial" w:cs="Arial"/>
          <w:b/>
          <w:bCs/>
          <w:sz w:val="20"/>
          <w:szCs w:val="20"/>
        </w:rPr>
        <w:t>Abbildung 5 – Homologe Rekombination am doublesex-</w:t>
      </w:r>
      <w:r w:rsidR="00B43884">
        <w:rPr>
          <w:rFonts w:ascii="Arial" w:hAnsi="Arial" w:cs="Arial"/>
          <w:b/>
          <w:bCs/>
          <w:sz w:val="20"/>
          <w:szCs w:val="20"/>
        </w:rPr>
        <w:t>G</w:t>
      </w:r>
      <w:r w:rsidR="00B43884" w:rsidRPr="00B43884">
        <w:rPr>
          <w:rFonts w:ascii="Arial" w:hAnsi="Arial" w:cs="Arial"/>
          <w:b/>
          <w:bCs/>
          <w:sz w:val="20"/>
          <w:szCs w:val="20"/>
        </w:rPr>
        <w:t>en</w:t>
      </w:r>
    </w:p>
    <w:p w14:paraId="6CE13EC6" w14:textId="77777777" w:rsidR="00B43884" w:rsidRPr="00B43884" w:rsidRDefault="00B43884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43305" w14:textId="1072DB08" w:rsidR="00B43884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5513">
        <w:rPr>
          <w:noProof/>
        </w:rPr>
        <w:drawing>
          <wp:inline distT="0" distB="0" distL="0" distR="0" wp14:anchorId="1765798B" wp14:editId="3B8D4AED">
            <wp:extent cx="6263640" cy="41167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1C8D" w14:textId="77777777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6886704F" w14:textId="11CB607A" w:rsidR="00BD3B19" w:rsidRDefault="00BD3B19" w:rsidP="00BD3B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7607712E" w14:textId="77777777" w:rsidR="00B43884" w:rsidRPr="00B43884" w:rsidRDefault="00B43884" w:rsidP="00BD3B19">
      <w:pPr>
        <w:spacing w:line="240" w:lineRule="auto"/>
        <w:rPr>
          <w:rFonts w:ascii="Arial" w:hAnsi="Arial" w:cs="Arial"/>
          <w:sz w:val="16"/>
          <w:szCs w:val="16"/>
        </w:rPr>
      </w:pPr>
    </w:p>
    <w:p w14:paraId="6037C3B9" w14:textId="565C73A3" w:rsidR="007024A2" w:rsidRDefault="007024A2" w:rsidP="00BD3B1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1B3B75" w14:textId="77777777" w:rsidR="004A02D0" w:rsidRDefault="004A02D0" w:rsidP="009E12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865E5A" w14:textId="7CD1D193" w:rsidR="000518B9" w:rsidRPr="008F054F" w:rsidRDefault="009E1211" w:rsidP="009E12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054F">
        <w:rPr>
          <w:rFonts w:ascii="Arial" w:hAnsi="Arial" w:cs="Arial"/>
          <w:b/>
          <w:bCs/>
          <w:sz w:val="20"/>
          <w:szCs w:val="20"/>
        </w:rPr>
        <w:t>Aufgabe:</w:t>
      </w:r>
    </w:p>
    <w:p w14:paraId="4228B3FC" w14:textId="2BFB5DBD" w:rsidR="00FD2B2B" w:rsidRDefault="00B43884" w:rsidP="004A02D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Erläutern Sie anhand der Abbildungen 1-5 die </w:t>
      </w:r>
      <w:r w:rsidR="004A02D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rozesse, die</w:t>
      </w:r>
      <w:r w:rsidR="004A02D0">
        <w:rPr>
          <w:rFonts w:ascii="Arial" w:hAnsi="Arial" w:cs="Arial"/>
          <w:sz w:val="20"/>
          <w:szCs w:val="20"/>
        </w:rPr>
        <w:t xml:space="preserve"> zur Veränderung der Basensequenz im Intron-4-Exon-5-Übergang führen und damit die Bildung von funktionsfähigem dsx-female unterbinden.</w:t>
      </w:r>
    </w:p>
    <w:sectPr w:rsidR="00FD2B2B" w:rsidSect="00DD0E28"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E0B3" w14:textId="77777777" w:rsidR="00B35F12" w:rsidRDefault="00B35F12" w:rsidP="00CA5734">
      <w:pPr>
        <w:spacing w:after="0" w:line="240" w:lineRule="auto"/>
      </w:pPr>
      <w:r>
        <w:separator/>
      </w:r>
    </w:p>
  </w:endnote>
  <w:endnote w:type="continuationSeparator" w:id="0">
    <w:p w14:paraId="3E0F1807" w14:textId="77777777" w:rsidR="00B35F12" w:rsidRDefault="00B35F12" w:rsidP="00CA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B4B9" w14:textId="2E37C349" w:rsidR="00CA5734" w:rsidRDefault="00CA5734" w:rsidP="00CA5734">
    <w:pPr>
      <w:pStyle w:val="Footer"/>
      <w:pBdr>
        <w:top w:val="single" w:sz="2" w:space="1" w:color="000000"/>
      </w:pBdr>
      <w:tabs>
        <w:tab w:val="left" w:pos="8647"/>
      </w:tabs>
    </w:pPr>
    <w:r w:rsidRPr="007C2454">
      <w:rPr>
        <w:i/>
        <w:iCs/>
        <w:sz w:val="14"/>
        <w:szCs w:val="14"/>
      </w:rPr>
      <w:t>4011</w:t>
    </w:r>
    <w:r w:rsidR="00615977">
      <w:rPr>
        <w:i/>
        <w:iCs/>
        <w:sz w:val="14"/>
        <w:szCs w:val="14"/>
      </w:rPr>
      <w:t>3</w:t>
    </w:r>
    <w:r w:rsidRPr="007C2454">
      <w:rPr>
        <w:i/>
        <w:iCs/>
        <w:sz w:val="14"/>
        <w:szCs w:val="14"/>
      </w:rPr>
      <w:t>_crispr_material_5a_crispr_cas_anopheles</w:t>
    </w:r>
    <w:r>
      <w:rPr>
        <w:sz w:val="14"/>
        <w:szCs w:val="14"/>
      </w:rPr>
      <w:t xml:space="preserve">                                                     ZPG Biologie 2020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4316183B" w14:textId="77777777" w:rsidR="00CA5734" w:rsidRDefault="00CA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B5ED" w14:textId="77777777" w:rsidR="00B35F12" w:rsidRDefault="00B35F12" w:rsidP="00CA5734">
      <w:pPr>
        <w:spacing w:after="0" w:line="240" w:lineRule="auto"/>
      </w:pPr>
      <w:r>
        <w:separator/>
      </w:r>
    </w:p>
  </w:footnote>
  <w:footnote w:type="continuationSeparator" w:id="0">
    <w:p w14:paraId="3AB0F160" w14:textId="77777777" w:rsidR="00B35F12" w:rsidRDefault="00B35F12" w:rsidP="00CA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8"/>
    <w:rsid w:val="000518B9"/>
    <w:rsid w:val="0005496D"/>
    <w:rsid w:val="00073616"/>
    <w:rsid w:val="001063F3"/>
    <w:rsid w:val="00114B94"/>
    <w:rsid w:val="00156BEA"/>
    <w:rsid w:val="002B05DB"/>
    <w:rsid w:val="00384866"/>
    <w:rsid w:val="00475141"/>
    <w:rsid w:val="004A02D0"/>
    <w:rsid w:val="004E5CE0"/>
    <w:rsid w:val="00615977"/>
    <w:rsid w:val="00621A6E"/>
    <w:rsid w:val="00631593"/>
    <w:rsid w:val="00665045"/>
    <w:rsid w:val="006A6C8A"/>
    <w:rsid w:val="006E0BF5"/>
    <w:rsid w:val="006E51FE"/>
    <w:rsid w:val="007024A2"/>
    <w:rsid w:val="007C218F"/>
    <w:rsid w:val="007C2454"/>
    <w:rsid w:val="0086467B"/>
    <w:rsid w:val="008A19D3"/>
    <w:rsid w:val="008D748F"/>
    <w:rsid w:val="008F054F"/>
    <w:rsid w:val="009E1211"/>
    <w:rsid w:val="00A3728F"/>
    <w:rsid w:val="00A85513"/>
    <w:rsid w:val="00B35F12"/>
    <w:rsid w:val="00B43654"/>
    <w:rsid w:val="00B43884"/>
    <w:rsid w:val="00B769C3"/>
    <w:rsid w:val="00BD3B19"/>
    <w:rsid w:val="00CA5734"/>
    <w:rsid w:val="00D17074"/>
    <w:rsid w:val="00DA4111"/>
    <w:rsid w:val="00DA6209"/>
    <w:rsid w:val="00DD0E28"/>
    <w:rsid w:val="00E568BE"/>
    <w:rsid w:val="00F57A88"/>
    <w:rsid w:val="00FC32C5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3C32"/>
  <w15:chartTrackingRefBased/>
  <w15:docId w15:val="{2A956618-6C5D-4194-A0C6-AC22108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D0E28"/>
  </w:style>
  <w:style w:type="paragraph" w:styleId="ListParagraph">
    <w:name w:val="List Paragraph"/>
    <w:basedOn w:val="Normal"/>
    <w:uiPriority w:val="34"/>
    <w:qFormat/>
    <w:rsid w:val="008A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34"/>
  </w:style>
  <w:style w:type="paragraph" w:styleId="Footer">
    <w:name w:val="footer"/>
    <w:basedOn w:val="Normal"/>
    <w:link w:val="FooterChar"/>
    <w:unhideWhenUsed/>
    <w:rsid w:val="00CA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2020-04-02T07:47:00Z</cp:lastPrinted>
  <dcterms:created xsi:type="dcterms:W3CDTF">2020-11-19T13:11:00Z</dcterms:created>
  <dcterms:modified xsi:type="dcterms:W3CDTF">2020-11-19T13:11:00Z</dcterms:modified>
</cp:coreProperties>
</file>