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78"/>
      </w:tblGrid>
      <w:tr w:rsidR="007C5490" w:rsidRPr="0076723E" w14:paraId="7EB546E5" w14:textId="77777777" w:rsidTr="001E319C">
        <w:tc>
          <w:tcPr>
            <w:tcW w:w="9778" w:type="dxa"/>
            <w:tcBorders>
              <w:bottom w:val="single" w:sz="4" w:space="0" w:color="auto"/>
            </w:tcBorders>
            <w:shd w:val="clear" w:color="auto" w:fill="99CCFF"/>
          </w:tcPr>
          <w:p w14:paraId="61225F77" w14:textId="3429F046" w:rsidR="007C5490" w:rsidRPr="0076723E" w:rsidRDefault="0076723E" w:rsidP="0076723E">
            <w:pPr>
              <w:spacing w:before="120"/>
              <w:jc w:val="center"/>
              <w:rPr>
                <w:rFonts w:ascii="Arial" w:hAnsi="Arial" w:cs="Arial"/>
                <w:b/>
                <w:sz w:val="28"/>
              </w:rPr>
            </w:pPr>
            <w:bookmarkStart w:id="0" w:name="_GoBack"/>
            <w:bookmarkEnd w:id="0"/>
            <w:r>
              <w:rPr>
                <w:rFonts w:ascii="Arial" w:hAnsi="Arial" w:cs="Arial"/>
                <w:b/>
                <w:sz w:val="28"/>
              </w:rPr>
              <w:t>460</w:t>
            </w:r>
            <w:r w:rsidR="0027112C" w:rsidRPr="0076723E">
              <w:rPr>
                <w:rFonts w:ascii="Arial" w:hAnsi="Arial" w:cs="Arial"/>
                <w:b/>
                <w:sz w:val="28"/>
              </w:rPr>
              <w:t xml:space="preserve"> </w:t>
            </w:r>
            <w:r>
              <w:rPr>
                <w:rFonts w:ascii="Arial" w:hAnsi="Arial" w:cs="Arial"/>
                <w:b/>
                <w:sz w:val="28"/>
              </w:rPr>
              <w:t>Sorgsamer Umgang mit Energie</w:t>
            </w:r>
          </w:p>
        </w:tc>
      </w:tr>
      <w:tr w:rsidR="007C5490" w:rsidRPr="005E4B14" w14:paraId="52F77445" w14:textId="77777777" w:rsidTr="005E4B14">
        <w:trPr>
          <w:trHeight w:val="1546"/>
        </w:trPr>
        <w:tc>
          <w:tcPr>
            <w:tcW w:w="9778" w:type="dxa"/>
            <w:tcBorders>
              <w:top w:val="single" w:sz="4" w:space="0" w:color="auto"/>
              <w:bottom w:val="single" w:sz="4" w:space="0" w:color="auto"/>
            </w:tcBorders>
            <w:shd w:val="clear" w:color="auto" w:fill="FABF8F" w:themeFill="accent6" w:themeFillTint="99"/>
          </w:tcPr>
          <w:p w14:paraId="45E6A509" w14:textId="2BD7DDCE" w:rsidR="00A70CF4" w:rsidRPr="005E4B14" w:rsidRDefault="00A70CF4" w:rsidP="00A70CF4">
            <w:pPr>
              <w:rPr>
                <w:rFonts w:ascii="Arial" w:hAnsi="Arial" w:cs="Arial"/>
                <w:b/>
                <w:sz w:val="20"/>
                <w:szCs w:val="20"/>
              </w:rPr>
            </w:pPr>
            <w:r w:rsidRPr="005E4B14">
              <w:rPr>
                <w:rFonts w:ascii="Arial" w:hAnsi="Arial" w:cs="Arial"/>
                <w:b/>
                <w:sz w:val="20"/>
                <w:szCs w:val="20"/>
              </w:rPr>
              <w:t>Ziele:</w:t>
            </w:r>
          </w:p>
          <w:p w14:paraId="395A163B" w14:textId="7F7146EC" w:rsidR="00A70CF4" w:rsidRPr="005E4B14" w:rsidRDefault="00A70CF4" w:rsidP="00A70CF4">
            <w:pPr>
              <w:rPr>
                <w:rFonts w:ascii="Arial" w:hAnsi="Arial" w:cs="Arial"/>
                <w:sz w:val="20"/>
                <w:szCs w:val="20"/>
              </w:rPr>
            </w:pPr>
            <w:r w:rsidRPr="005E4B14">
              <w:rPr>
                <w:rFonts w:ascii="Arial" w:hAnsi="Arial" w:cs="Arial"/>
                <w:sz w:val="20"/>
                <w:szCs w:val="20"/>
              </w:rPr>
              <w:t xml:space="preserve">Die Schülerinnen und Schüler </w:t>
            </w:r>
            <w:r w:rsidR="005E4271" w:rsidRPr="005E4B14">
              <w:rPr>
                <w:rFonts w:ascii="Arial" w:hAnsi="Arial" w:cs="Arial"/>
                <w:sz w:val="20"/>
                <w:szCs w:val="20"/>
              </w:rPr>
              <w:t xml:space="preserve">können </w:t>
            </w:r>
          </w:p>
          <w:p w14:paraId="2664F3B7" w14:textId="77777777" w:rsidR="001E319C" w:rsidRPr="005E4B14" w:rsidRDefault="005E4271" w:rsidP="003F25E9">
            <w:pPr>
              <w:pStyle w:val="Listenabsatz"/>
              <w:numPr>
                <w:ilvl w:val="0"/>
                <w:numId w:val="34"/>
              </w:numPr>
              <w:rPr>
                <w:rFonts w:ascii="Arial" w:hAnsi="Arial" w:cs="Arial"/>
                <w:sz w:val="20"/>
                <w:szCs w:val="20"/>
              </w:rPr>
            </w:pPr>
            <w:r w:rsidRPr="005E4B14">
              <w:rPr>
                <w:rFonts w:ascii="Arial" w:hAnsi="Arial" w:cs="Arial"/>
                <w:sz w:val="20"/>
                <w:szCs w:val="20"/>
              </w:rPr>
              <w:t>das Grundprinzip einer Wärmedämmung beschreiben und anwenden</w:t>
            </w:r>
          </w:p>
          <w:p w14:paraId="6884059A" w14:textId="056E5D96" w:rsidR="005E4271" w:rsidRPr="005E4B14" w:rsidRDefault="00895AB8" w:rsidP="003F25E9">
            <w:pPr>
              <w:pStyle w:val="Listenabsatz"/>
              <w:numPr>
                <w:ilvl w:val="0"/>
                <w:numId w:val="34"/>
              </w:numPr>
              <w:rPr>
                <w:rFonts w:ascii="Arial" w:hAnsi="Arial" w:cs="Arial"/>
                <w:sz w:val="20"/>
                <w:szCs w:val="20"/>
              </w:rPr>
            </w:pPr>
            <w:r w:rsidRPr="005E4B14">
              <w:rPr>
                <w:rFonts w:ascii="Arial" w:hAnsi="Arial" w:cs="Arial"/>
                <w:sz w:val="20"/>
                <w:szCs w:val="20"/>
              </w:rPr>
              <w:t xml:space="preserve">an einem Beispiel </w:t>
            </w:r>
            <w:r w:rsidR="005E4271" w:rsidRPr="005E4B14">
              <w:rPr>
                <w:rFonts w:ascii="Arial" w:hAnsi="Arial" w:cs="Arial"/>
                <w:sz w:val="20"/>
                <w:szCs w:val="20"/>
              </w:rPr>
              <w:t>Experimente zum sorgsamen Umgang mit Energie durchführen und bewerten</w:t>
            </w:r>
          </w:p>
          <w:p w14:paraId="6B16563E" w14:textId="379581B7" w:rsidR="005E4271" w:rsidRPr="005E4B14" w:rsidRDefault="005E4271" w:rsidP="003F25E9">
            <w:pPr>
              <w:pStyle w:val="Listenabsatz"/>
              <w:numPr>
                <w:ilvl w:val="0"/>
                <w:numId w:val="34"/>
              </w:numPr>
              <w:rPr>
                <w:rFonts w:ascii="Arial" w:hAnsi="Arial" w:cs="Arial"/>
                <w:sz w:val="20"/>
                <w:szCs w:val="20"/>
              </w:rPr>
            </w:pPr>
            <w:r w:rsidRPr="005E4B14">
              <w:rPr>
                <w:rFonts w:ascii="Arial" w:hAnsi="Arial" w:cs="Arial"/>
                <w:sz w:val="20"/>
                <w:szCs w:val="20"/>
              </w:rPr>
              <w:t>ihre Ergebnisse mit Hilfe von Energieflussdiagrammen auf andere Situationen übertragen.</w:t>
            </w:r>
          </w:p>
        </w:tc>
      </w:tr>
      <w:tr w:rsidR="0076723E" w:rsidRPr="005E4B14" w14:paraId="65A5330B" w14:textId="77777777" w:rsidTr="005E4B14">
        <w:trPr>
          <w:trHeight w:val="2403"/>
        </w:trPr>
        <w:tc>
          <w:tcPr>
            <w:tcW w:w="9778" w:type="dxa"/>
            <w:tcBorders>
              <w:top w:val="single" w:sz="4" w:space="0" w:color="auto"/>
              <w:bottom w:val="single" w:sz="4" w:space="0" w:color="auto"/>
            </w:tcBorders>
            <w:shd w:val="clear" w:color="auto" w:fill="C2D69B" w:themeFill="accent3" w:themeFillTint="99"/>
          </w:tcPr>
          <w:p w14:paraId="278FB41D" w14:textId="77777777" w:rsidR="0076723E" w:rsidRPr="005E4B14" w:rsidRDefault="0076723E" w:rsidP="0076723E">
            <w:pPr>
              <w:rPr>
                <w:rFonts w:ascii="Arial" w:hAnsi="Arial" w:cs="Arial"/>
                <w:b/>
                <w:sz w:val="20"/>
                <w:szCs w:val="20"/>
              </w:rPr>
            </w:pPr>
            <w:r w:rsidRPr="005E4B14">
              <w:rPr>
                <w:rFonts w:ascii="Arial" w:hAnsi="Arial" w:cs="Arial"/>
                <w:b/>
                <w:sz w:val="20"/>
                <w:szCs w:val="20"/>
              </w:rPr>
              <w:t>Bezug zum Bildungsplan:</w:t>
            </w:r>
          </w:p>
          <w:p w14:paraId="4EFD8956" w14:textId="77777777" w:rsidR="0076723E" w:rsidRPr="005E4B14" w:rsidRDefault="0076723E" w:rsidP="0076723E">
            <w:pPr>
              <w:rPr>
                <w:rFonts w:ascii="Arial" w:hAnsi="Arial" w:cs="Arial"/>
                <w:sz w:val="20"/>
                <w:szCs w:val="20"/>
              </w:rPr>
            </w:pPr>
            <w:r w:rsidRPr="005E4B14">
              <w:rPr>
                <w:rFonts w:ascii="Arial" w:hAnsi="Arial" w:cs="Arial"/>
                <w:sz w:val="20"/>
                <w:szCs w:val="20"/>
              </w:rPr>
              <w:t>prozessbezogene Kompetenzen:</w:t>
            </w:r>
          </w:p>
          <w:p w14:paraId="6F8A890C" w14:textId="68C5BC23" w:rsidR="0076723E" w:rsidRPr="005E4B14" w:rsidRDefault="0076723E" w:rsidP="0076723E">
            <w:pPr>
              <w:pStyle w:val="Listenabsatz"/>
              <w:numPr>
                <w:ilvl w:val="0"/>
                <w:numId w:val="36"/>
              </w:numPr>
              <w:rPr>
                <w:rFonts w:ascii="Arial" w:hAnsi="Arial" w:cs="Arial"/>
                <w:sz w:val="20"/>
                <w:szCs w:val="20"/>
              </w:rPr>
            </w:pPr>
            <w:r w:rsidRPr="005E4B14">
              <w:rPr>
                <w:rFonts w:ascii="Arial" w:hAnsi="Arial" w:cs="Arial"/>
                <w:sz w:val="20"/>
                <w:szCs w:val="20"/>
              </w:rPr>
              <w:t>2.1 Erkenntnisgewinnung: 1, 3, 4, 5, 6, 7, 10</w:t>
            </w:r>
          </w:p>
          <w:p w14:paraId="30B88546" w14:textId="77777777" w:rsidR="0076723E" w:rsidRPr="005E4B14" w:rsidRDefault="0076723E" w:rsidP="0076723E">
            <w:pPr>
              <w:pStyle w:val="Listenabsatz"/>
              <w:numPr>
                <w:ilvl w:val="0"/>
                <w:numId w:val="36"/>
              </w:numPr>
              <w:rPr>
                <w:rFonts w:ascii="Arial" w:hAnsi="Arial" w:cs="Arial"/>
                <w:sz w:val="20"/>
                <w:szCs w:val="20"/>
              </w:rPr>
            </w:pPr>
            <w:r w:rsidRPr="005E4B14">
              <w:rPr>
                <w:rFonts w:ascii="Arial" w:hAnsi="Arial" w:cs="Arial"/>
                <w:sz w:val="20"/>
                <w:szCs w:val="20"/>
              </w:rPr>
              <w:t>2.2 Kommunikation: 1, 2, 3, 4, 7, 8</w:t>
            </w:r>
          </w:p>
          <w:p w14:paraId="31DDA845" w14:textId="28D7ADA2" w:rsidR="0076723E" w:rsidRPr="005E4B14" w:rsidRDefault="0076723E" w:rsidP="0076723E">
            <w:pPr>
              <w:pStyle w:val="Listenabsatz"/>
              <w:numPr>
                <w:ilvl w:val="0"/>
                <w:numId w:val="36"/>
              </w:numPr>
              <w:rPr>
                <w:rFonts w:ascii="Arial" w:hAnsi="Arial" w:cs="Arial"/>
                <w:sz w:val="20"/>
                <w:szCs w:val="20"/>
              </w:rPr>
            </w:pPr>
            <w:r w:rsidRPr="005E4B14">
              <w:rPr>
                <w:rFonts w:ascii="Arial" w:hAnsi="Arial" w:cs="Arial"/>
                <w:sz w:val="20"/>
                <w:szCs w:val="20"/>
              </w:rPr>
              <w:t>2.3 Bewertung: 1, 3, 4, 5, 6</w:t>
            </w:r>
          </w:p>
          <w:p w14:paraId="1F8D30BE" w14:textId="77777777" w:rsidR="0076723E" w:rsidRPr="005E4B14" w:rsidRDefault="0076723E" w:rsidP="0076723E">
            <w:pPr>
              <w:rPr>
                <w:rFonts w:ascii="Arial" w:hAnsi="Arial" w:cs="Arial"/>
                <w:sz w:val="20"/>
                <w:szCs w:val="20"/>
              </w:rPr>
            </w:pPr>
            <w:r w:rsidRPr="005E4B14">
              <w:rPr>
                <w:rFonts w:ascii="Arial" w:hAnsi="Arial" w:cs="Arial"/>
                <w:sz w:val="20"/>
                <w:szCs w:val="20"/>
              </w:rPr>
              <w:t>inhaltsbezogene Kompetenzen:</w:t>
            </w:r>
          </w:p>
          <w:p w14:paraId="06939C0E" w14:textId="547D4622" w:rsidR="0076723E" w:rsidRPr="005E4B14" w:rsidRDefault="0076723E" w:rsidP="0076723E">
            <w:pPr>
              <w:pStyle w:val="Listenabsatz"/>
              <w:numPr>
                <w:ilvl w:val="0"/>
                <w:numId w:val="37"/>
              </w:numPr>
              <w:rPr>
                <w:rFonts w:ascii="Arial" w:hAnsi="Arial" w:cs="Arial"/>
                <w:sz w:val="20"/>
                <w:szCs w:val="20"/>
              </w:rPr>
            </w:pPr>
            <w:r w:rsidRPr="005E4B14">
              <w:rPr>
                <w:rFonts w:ascii="Arial" w:hAnsi="Arial" w:cs="Arial"/>
                <w:sz w:val="20"/>
                <w:szCs w:val="20"/>
              </w:rPr>
              <w:t>3.1.1 Denk- und Arbeitsweisen 1, 2, 3, 9</w:t>
            </w:r>
          </w:p>
          <w:p w14:paraId="47140233" w14:textId="6B387642" w:rsidR="0076723E" w:rsidRPr="005E4B14" w:rsidRDefault="0076723E" w:rsidP="0076723E">
            <w:pPr>
              <w:pStyle w:val="Listenabsatz"/>
              <w:numPr>
                <w:ilvl w:val="0"/>
                <w:numId w:val="37"/>
              </w:numPr>
              <w:rPr>
                <w:rFonts w:ascii="Arial" w:hAnsi="Arial" w:cs="Arial"/>
                <w:b/>
                <w:sz w:val="20"/>
                <w:szCs w:val="20"/>
              </w:rPr>
            </w:pPr>
            <w:r w:rsidRPr="005E4B14">
              <w:rPr>
                <w:rFonts w:ascii="Arial" w:hAnsi="Arial" w:cs="Arial"/>
                <w:sz w:val="20"/>
                <w:szCs w:val="20"/>
              </w:rPr>
              <w:t>3.1.4 Energie effizient nutzen 10, 11</w:t>
            </w:r>
          </w:p>
        </w:tc>
      </w:tr>
      <w:tr w:rsidR="001E319C" w:rsidRPr="00895AB8" w14:paraId="13D47D94" w14:textId="77777777" w:rsidTr="001E319C">
        <w:trPr>
          <w:trHeight w:val="6600"/>
        </w:trPr>
        <w:tc>
          <w:tcPr>
            <w:tcW w:w="9778" w:type="dxa"/>
            <w:tcBorders>
              <w:top w:val="single" w:sz="4" w:space="0" w:color="auto"/>
            </w:tcBorders>
            <w:shd w:val="clear" w:color="auto" w:fill="FFFF99"/>
          </w:tcPr>
          <w:p w14:paraId="14206767" w14:textId="0C661589" w:rsidR="003F25E9" w:rsidRPr="00895AB8" w:rsidRDefault="003F25E9" w:rsidP="001E319C">
            <w:pPr>
              <w:rPr>
                <w:rFonts w:ascii="Arial" w:hAnsi="Arial" w:cs="Arial"/>
                <w:b/>
                <w:sz w:val="20"/>
              </w:rPr>
            </w:pPr>
            <w:r w:rsidRPr="00895AB8">
              <w:rPr>
                <w:rFonts w:ascii="Arial" w:hAnsi="Arial" w:cs="Arial"/>
                <w:b/>
                <w:sz w:val="20"/>
              </w:rPr>
              <w:t>Fachdidaktische Hinweise:</w:t>
            </w:r>
          </w:p>
          <w:p w14:paraId="098DB289" w14:textId="32019B03" w:rsidR="0027112C" w:rsidRPr="00895AB8" w:rsidRDefault="00895AB8" w:rsidP="00895AB8">
            <w:pPr>
              <w:pStyle w:val="Listenabsatz"/>
              <w:numPr>
                <w:ilvl w:val="0"/>
                <w:numId w:val="38"/>
              </w:numPr>
              <w:rPr>
                <w:rFonts w:ascii="Arial" w:hAnsi="Arial" w:cs="Arial"/>
                <w:sz w:val="20"/>
              </w:rPr>
            </w:pPr>
            <w:r w:rsidRPr="00895AB8">
              <w:rPr>
                <w:rFonts w:ascii="Arial" w:hAnsi="Arial" w:cs="Arial"/>
                <w:sz w:val="20"/>
              </w:rPr>
              <w:t>Am Beispiel des Mehrfachglases ist das Prinzip „Konvektion der Luft verhindern, schlechte Wärm</w:t>
            </w:r>
            <w:r w:rsidRPr="00895AB8">
              <w:rPr>
                <w:rFonts w:ascii="Arial" w:hAnsi="Arial" w:cs="Arial"/>
                <w:sz w:val="20"/>
              </w:rPr>
              <w:t>e</w:t>
            </w:r>
            <w:r w:rsidRPr="00895AB8">
              <w:rPr>
                <w:rFonts w:ascii="Arial" w:hAnsi="Arial" w:cs="Arial"/>
                <w:sz w:val="20"/>
              </w:rPr>
              <w:t>leitung ausnutzen“ deutlich zu erkennen, auf dem die meisten Wärmedämmungen in Natur und Technik beruhen.</w:t>
            </w:r>
          </w:p>
          <w:p w14:paraId="0E8769C5" w14:textId="407E9730" w:rsidR="00895AB8" w:rsidRDefault="00895AB8" w:rsidP="00895AB8">
            <w:pPr>
              <w:pStyle w:val="Listenabsatz"/>
              <w:numPr>
                <w:ilvl w:val="0"/>
                <w:numId w:val="38"/>
              </w:numPr>
              <w:rPr>
                <w:rFonts w:ascii="Arial" w:hAnsi="Arial" w:cs="Arial"/>
                <w:sz w:val="20"/>
              </w:rPr>
            </w:pPr>
            <w:r w:rsidRPr="00895AB8">
              <w:rPr>
                <w:rFonts w:ascii="Arial" w:hAnsi="Arial" w:cs="Arial"/>
                <w:sz w:val="20"/>
              </w:rPr>
              <w:t>Weitere Möglichkeiten der Wärmedämmungen wie Ausnutzen der Reflexion oder Vakuum-Schichten (z.B. Thermoskanne) werden hier nicht thematisiert. Wenn gewünscht, kann dies im Rückgriff auf die Rettungsdecke (</w:t>
            </w:r>
            <w:hyperlink r:id="rId9" w:history="1">
              <w:r w:rsidRPr="00895AB8">
                <w:rPr>
                  <w:rStyle w:val="Hyperlink"/>
                  <w:rFonts w:ascii="Arial" w:hAnsi="Arial" w:cs="Arial"/>
                  <w:sz w:val="20"/>
                </w:rPr>
                <w:t>4433_AB1_Waermestrahlung.docx</w:t>
              </w:r>
            </w:hyperlink>
            <w:r w:rsidRPr="00895AB8">
              <w:rPr>
                <w:rFonts w:ascii="Arial" w:hAnsi="Arial" w:cs="Arial"/>
                <w:sz w:val="20"/>
              </w:rPr>
              <w:t>) geschehen.</w:t>
            </w:r>
          </w:p>
          <w:p w14:paraId="1BDE40A4" w14:textId="14D49A44" w:rsidR="0019665F" w:rsidRDefault="0019665F" w:rsidP="00895AB8">
            <w:pPr>
              <w:pStyle w:val="Listenabsatz"/>
              <w:numPr>
                <w:ilvl w:val="0"/>
                <w:numId w:val="38"/>
              </w:numPr>
              <w:rPr>
                <w:rFonts w:ascii="Arial" w:hAnsi="Arial" w:cs="Arial"/>
                <w:sz w:val="20"/>
              </w:rPr>
            </w:pPr>
            <w:r>
              <w:rPr>
                <w:rFonts w:ascii="Arial" w:hAnsi="Arial" w:cs="Arial"/>
                <w:sz w:val="20"/>
              </w:rPr>
              <w:t>Der „sorgsame Umgang mit Energie“ setzt die Leitperspektive BNE um. Dabei gibt es zwei für die Schülerinnen und Schüler zugängliche Leitfragen:</w:t>
            </w:r>
          </w:p>
          <w:p w14:paraId="3B2EEBFC" w14:textId="77777777" w:rsidR="0019665F" w:rsidRDefault="0019665F" w:rsidP="0019665F">
            <w:pPr>
              <w:pStyle w:val="Listenabsatz"/>
              <w:numPr>
                <w:ilvl w:val="1"/>
                <w:numId w:val="38"/>
              </w:numPr>
              <w:rPr>
                <w:rFonts w:ascii="Arial" w:hAnsi="Arial" w:cs="Arial"/>
                <w:sz w:val="20"/>
              </w:rPr>
            </w:pPr>
            <w:r>
              <w:rPr>
                <w:rFonts w:ascii="Arial" w:hAnsi="Arial" w:cs="Arial"/>
                <w:sz w:val="20"/>
              </w:rPr>
              <w:t>Muss ich die Energie überhaupt für einen Vorgang einsetzen?</w:t>
            </w:r>
          </w:p>
          <w:p w14:paraId="121FEEC1" w14:textId="77777777" w:rsidR="0019665F" w:rsidRDefault="0019665F" w:rsidP="0019665F">
            <w:pPr>
              <w:pStyle w:val="Listenabsatz"/>
              <w:numPr>
                <w:ilvl w:val="1"/>
                <w:numId w:val="38"/>
              </w:numPr>
              <w:spacing w:after="0"/>
              <w:rPr>
                <w:rFonts w:ascii="Arial" w:hAnsi="Arial" w:cs="Arial"/>
                <w:sz w:val="20"/>
              </w:rPr>
            </w:pPr>
            <w:r>
              <w:rPr>
                <w:rFonts w:ascii="Arial" w:hAnsi="Arial" w:cs="Arial"/>
                <w:sz w:val="20"/>
              </w:rPr>
              <w:t>Landet die Energie dort, wo ich sie haben möchte?</w:t>
            </w:r>
          </w:p>
          <w:p w14:paraId="17E07C12" w14:textId="1A047FF4" w:rsidR="005E4B14" w:rsidRPr="0019665F" w:rsidRDefault="0019665F" w:rsidP="005E4B14">
            <w:pPr>
              <w:spacing w:after="0"/>
              <w:ind w:left="709"/>
              <w:rPr>
                <w:rFonts w:ascii="Arial" w:hAnsi="Arial" w:cs="Arial"/>
                <w:sz w:val="20"/>
              </w:rPr>
            </w:pPr>
            <w:r>
              <w:rPr>
                <w:rFonts w:ascii="Arial" w:hAnsi="Arial" w:cs="Arial"/>
                <w:sz w:val="20"/>
              </w:rPr>
              <w:t>Die erste Frage stellt teilweise sehr grundsätzlich unser Verhalten in Frage (z.B. „Muss ich Energie dafür aufwenden, um mit dem Flugzeug in Urlaub zu fliegen?“ „Sind Formel-1-Rennen sinnvoll?“) und kann leicht in „Gesinnungspädagogik“ abgleiten. Das Material setzt sich vor allem mit der zwe</w:t>
            </w:r>
            <w:r>
              <w:rPr>
                <w:rFonts w:ascii="Arial" w:hAnsi="Arial" w:cs="Arial"/>
                <w:sz w:val="20"/>
              </w:rPr>
              <w:t>i</w:t>
            </w:r>
            <w:r>
              <w:rPr>
                <w:rFonts w:ascii="Arial" w:hAnsi="Arial" w:cs="Arial"/>
                <w:sz w:val="20"/>
              </w:rPr>
              <w:t>ten Frage auseinander.</w:t>
            </w:r>
          </w:p>
          <w:p w14:paraId="00D30A3C" w14:textId="2D01C6FC" w:rsidR="005E4B14" w:rsidRDefault="005E4B14" w:rsidP="00115B64">
            <w:pPr>
              <w:pStyle w:val="Listenabsatz"/>
              <w:numPr>
                <w:ilvl w:val="0"/>
                <w:numId w:val="35"/>
              </w:numPr>
              <w:spacing w:after="200" w:line="276" w:lineRule="auto"/>
              <w:jc w:val="both"/>
              <w:rPr>
                <w:rFonts w:ascii="Arial" w:hAnsi="Arial" w:cs="Arial"/>
                <w:sz w:val="20"/>
              </w:rPr>
            </w:pPr>
            <w:r>
              <w:rPr>
                <w:rFonts w:ascii="Arial" w:hAnsi="Arial" w:cs="Arial"/>
                <w:sz w:val="20"/>
              </w:rPr>
              <w:t>Am Beispiel des Kochens wird das Konzept der Energieflussdiagramme erweitert:</w:t>
            </w:r>
          </w:p>
          <w:p w14:paraId="13482222" w14:textId="591A3552" w:rsidR="005E4B14" w:rsidRDefault="005E4B14" w:rsidP="005E4B14">
            <w:pPr>
              <w:pStyle w:val="Listenabsatz"/>
              <w:numPr>
                <w:ilvl w:val="1"/>
                <w:numId w:val="35"/>
              </w:numPr>
              <w:spacing w:after="200" w:line="276" w:lineRule="auto"/>
              <w:jc w:val="both"/>
              <w:rPr>
                <w:rFonts w:ascii="Arial" w:hAnsi="Arial" w:cs="Arial"/>
                <w:sz w:val="20"/>
              </w:rPr>
            </w:pPr>
            <w:r>
              <w:rPr>
                <w:rFonts w:ascii="Arial" w:hAnsi="Arial" w:cs="Arial"/>
                <w:sz w:val="20"/>
              </w:rPr>
              <w:t>Pfeildicke als grobe Quantifizierung (</w:t>
            </w:r>
            <w:r>
              <w:rPr>
                <w:rFonts w:ascii="Arial" w:hAnsi="Arial" w:cs="Arial"/>
                <w:sz w:val="20"/>
              </w:rPr>
              <w:sym w:font="Wingdings" w:char="F0E0"/>
            </w:r>
            <w:r>
              <w:rPr>
                <w:rFonts w:ascii="Arial" w:hAnsi="Arial" w:cs="Arial"/>
                <w:sz w:val="20"/>
              </w:rPr>
              <w:t>Deckel)</w:t>
            </w:r>
          </w:p>
          <w:p w14:paraId="5D7C80CD" w14:textId="38DAE60B" w:rsidR="005E4B14" w:rsidRDefault="005E4B14" w:rsidP="005E4B14">
            <w:pPr>
              <w:pStyle w:val="Listenabsatz"/>
              <w:numPr>
                <w:ilvl w:val="1"/>
                <w:numId w:val="35"/>
              </w:numPr>
              <w:spacing w:after="0" w:line="276" w:lineRule="auto"/>
              <w:jc w:val="both"/>
              <w:rPr>
                <w:rFonts w:ascii="Arial" w:hAnsi="Arial" w:cs="Arial"/>
                <w:sz w:val="20"/>
              </w:rPr>
            </w:pPr>
            <w:r>
              <w:rPr>
                <w:rFonts w:ascii="Arial" w:hAnsi="Arial" w:cs="Arial"/>
                <w:sz w:val="20"/>
              </w:rPr>
              <w:t>Verzweigungen (</w:t>
            </w:r>
            <w:r>
              <w:rPr>
                <w:rFonts w:ascii="Arial" w:hAnsi="Arial" w:cs="Arial"/>
                <w:sz w:val="20"/>
              </w:rPr>
              <w:sym w:font="Wingdings" w:char="F0E0"/>
            </w:r>
            <w:r>
              <w:rPr>
                <w:rFonts w:ascii="Arial" w:hAnsi="Arial" w:cs="Arial"/>
                <w:sz w:val="20"/>
              </w:rPr>
              <w:t>zu kleiner Topf)</w:t>
            </w:r>
          </w:p>
          <w:p w14:paraId="39AD7D12" w14:textId="19CD3B8B" w:rsidR="005E4B14" w:rsidRPr="005E4B14" w:rsidRDefault="005E4B14" w:rsidP="005E4B14">
            <w:pPr>
              <w:spacing w:after="0" w:line="276" w:lineRule="auto"/>
              <w:ind w:left="709"/>
              <w:jc w:val="both"/>
              <w:rPr>
                <w:rFonts w:ascii="Arial" w:hAnsi="Arial" w:cs="Arial"/>
                <w:sz w:val="20"/>
              </w:rPr>
            </w:pPr>
            <w:r w:rsidRPr="005E4B14">
              <w:rPr>
                <w:rFonts w:ascii="Arial" w:hAnsi="Arial" w:cs="Arial"/>
                <w:sz w:val="20"/>
              </w:rPr>
              <w:t>Das so erworbene Konzept wird anschließend auf andere Kontexte übertragen.</w:t>
            </w:r>
          </w:p>
          <w:p w14:paraId="7F1A620A" w14:textId="0D989C3A" w:rsidR="005E4B14" w:rsidRDefault="005E4B14" w:rsidP="00115B64">
            <w:pPr>
              <w:pStyle w:val="Listenabsatz"/>
              <w:numPr>
                <w:ilvl w:val="0"/>
                <w:numId w:val="35"/>
              </w:numPr>
              <w:spacing w:after="200" w:line="276" w:lineRule="auto"/>
              <w:jc w:val="both"/>
              <w:rPr>
                <w:rFonts w:ascii="Arial" w:hAnsi="Arial" w:cs="Arial"/>
                <w:sz w:val="20"/>
              </w:rPr>
            </w:pPr>
            <w:r>
              <w:rPr>
                <w:rFonts w:ascii="Arial" w:hAnsi="Arial" w:cs="Arial"/>
                <w:sz w:val="20"/>
              </w:rPr>
              <w:t>Das Beispiel „Stoßlüften“ ist komplex: Energetisch ist es am besten, die Fenster gar nicht zu öffnen, während es bezüglich des Gasaustausches am besten ist, die Fenster zu kippen. Das Stoßlüften ist hier nur ein Kompromiss. Zugänglich ist für die Schülerinnen und Schüler, dass man bei (wie auch immer) geöffnetem Fenster die Heizung ausschalten sollte.</w:t>
            </w:r>
          </w:p>
          <w:p w14:paraId="5168F2FF" w14:textId="084FA91C" w:rsidR="00115B64" w:rsidRPr="00895AB8" w:rsidRDefault="00895AB8" w:rsidP="00115B64">
            <w:pPr>
              <w:pStyle w:val="Listenabsatz"/>
              <w:numPr>
                <w:ilvl w:val="0"/>
                <w:numId w:val="35"/>
              </w:numPr>
              <w:spacing w:after="200" w:line="276" w:lineRule="auto"/>
              <w:jc w:val="both"/>
              <w:rPr>
                <w:rFonts w:ascii="Arial" w:hAnsi="Arial" w:cs="Arial"/>
                <w:sz w:val="20"/>
              </w:rPr>
            </w:pPr>
            <w:r w:rsidRPr="00895AB8">
              <w:rPr>
                <w:rFonts w:ascii="Arial" w:hAnsi="Arial" w:cs="Arial"/>
                <w:sz w:val="20"/>
              </w:rPr>
              <w:t>Fehlvorstellung zur Wärmedämmung</w:t>
            </w:r>
          </w:p>
          <w:p w14:paraId="423EEF29" w14:textId="77777777" w:rsidR="00115B64" w:rsidRPr="00895AB8" w:rsidRDefault="00115B64" w:rsidP="00115B64">
            <w:pPr>
              <w:pStyle w:val="Listenabsatz"/>
              <w:numPr>
                <w:ilvl w:val="1"/>
                <w:numId w:val="35"/>
              </w:numPr>
              <w:spacing w:after="200" w:line="276" w:lineRule="auto"/>
              <w:jc w:val="both"/>
              <w:rPr>
                <w:rFonts w:ascii="Arial" w:hAnsi="Arial" w:cs="Arial"/>
                <w:sz w:val="20"/>
              </w:rPr>
            </w:pPr>
            <w:r w:rsidRPr="00895AB8">
              <w:rPr>
                <w:rFonts w:ascii="Arial" w:hAnsi="Arial" w:cs="Arial"/>
                <w:sz w:val="20"/>
              </w:rPr>
              <w:t>Die Wärmeleitung ist (neben der unterschiedlichen Wärmekapazität) verantwortlich dafür, dass wir Festkörper unterschiedlich warm wahrnehmen, obwohl sie die gleiche Temperatur besitzen. Diese Wahrnehmung erschwert das Verständnis des Temperaturausgleichs, der zentral für das Verständnis thermischer Phänomene ist.</w:t>
            </w:r>
          </w:p>
          <w:p w14:paraId="0369DF86" w14:textId="342DA6FA" w:rsidR="00115B64" w:rsidRDefault="00115B64" w:rsidP="00115B64">
            <w:pPr>
              <w:pStyle w:val="Listenabsatz"/>
              <w:numPr>
                <w:ilvl w:val="1"/>
                <w:numId w:val="35"/>
              </w:numPr>
              <w:spacing w:after="200" w:line="276" w:lineRule="auto"/>
              <w:jc w:val="both"/>
              <w:rPr>
                <w:rFonts w:ascii="Arial" w:hAnsi="Arial" w:cs="Arial"/>
                <w:sz w:val="20"/>
              </w:rPr>
            </w:pPr>
            <w:r w:rsidRPr="00895AB8">
              <w:rPr>
                <w:rFonts w:ascii="Arial" w:hAnsi="Arial" w:cs="Arial"/>
                <w:sz w:val="20"/>
              </w:rPr>
              <w:t xml:space="preserve"> „Wolle macht warm“:</w:t>
            </w:r>
            <w:r w:rsidR="00895AB8" w:rsidRPr="00895AB8">
              <w:rPr>
                <w:rFonts w:ascii="Arial" w:hAnsi="Arial" w:cs="Arial"/>
                <w:sz w:val="20"/>
              </w:rPr>
              <w:t xml:space="preserve"> </w:t>
            </w:r>
            <w:r w:rsidRPr="00895AB8">
              <w:rPr>
                <w:rFonts w:ascii="Arial" w:hAnsi="Arial" w:cs="Arial"/>
                <w:sz w:val="20"/>
              </w:rPr>
              <w:t>Die wärmedämmende Eigenschaft eines Materials wird nicht als Hemmen der Energieübertragung verstanden, sondern als „wärmende“ Eigenschaft des Materials.</w:t>
            </w:r>
          </w:p>
          <w:p w14:paraId="72147EFF" w14:textId="11E4F6E5" w:rsidR="0019665F" w:rsidRPr="00895AB8" w:rsidRDefault="0019665F" w:rsidP="00115B64">
            <w:pPr>
              <w:pStyle w:val="Listenabsatz"/>
              <w:numPr>
                <w:ilvl w:val="1"/>
                <w:numId w:val="35"/>
              </w:numPr>
              <w:spacing w:after="200" w:line="276" w:lineRule="auto"/>
              <w:jc w:val="both"/>
              <w:rPr>
                <w:rFonts w:ascii="Arial" w:hAnsi="Arial" w:cs="Arial"/>
                <w:sz w:val="20"/>
              </w:rPr>
            </w:pPr>
            <w:r>
              <w:rPr>
                <w:rFonts w:ascii="Arial" w:hAnsi="Arial" w:cs="Arial"/>
                <w:sz w:val="20"/>
              </w:rPr>
              <w:t xml:space="preserve">„Kälte wird transportiert“: Direkt aus der Alltagssprache kommend </w:t>
            </w:r>
            <w:r w:rsidR="005E4B14">
              <w:rPr>
                <w:rFonts w:ascii="Arial" w:hAnsi="Arial" w:cs="Arial"/>
                <w:sz w:val="20"/>
              </w:rPr>
              <w:t>erschwert diese Vorste</w:t>
            </w:r>
            <w:r w:rsidR="005E4B14">
              <w:rPr>
                <w:rFonts w:ascii="Arial" w:hAnsi="Arial" w:cs="Arial"/>
                <w:sz w:val="20"/>
              </w:rPr>
              <w:t>l</w:t>
            </w:r>
            <w:r w:rsidR="005E4B14">
              <w:rPr>
                <w:rFonts w:ascii="Arial" w:hAnsi="Arial" w:cs="Arial"/>
                <w:sz w:val="20"/>
              </w:rPr>
              <w:t>lung z.B. das Verständnis einer Haus-Wärmedämmung im Sommer.</w:t>
            </w:r>
          </w:p>
          <w:p w14:paraId="4FF9A072" w14:textId="06FBCD9E" w:rsidR="001E319C" w:rsidRPr="00895AB8" w:rsidRDefault="003F25E9" w:rsidP="001E319C">
            <w:pPr>
              <w:rPr>
                <w:rFonts w:ascii="Arial" w:hAnsi="Arial" w:cs="Arial"/>
                <w:b/>
                <w:sz w:val="20"/>
              </w:rPr>
            </w:pPr>
            <w:r w:rsidRPr="00895AB8">
              <w:rPr>
                <w:rFonts w:ascii="Arial" w:hAnsi="Arial" w:cs="Arial"/>
                <w:b/>
                <w:sz w:val="20"/>
              </w:rPr>
              <w:t>T</w:t>
            </w:r>
            <w:r w:rsidR="001E319C" w:rsidRPr="00895AB8">
              <w:rPr>
                <w:rFonts w:ascii="Arial" w:hAnsi="Arial" w:cs="Arial"/>
                <w:b/>
                <w:sz w:val="20"/>
              </w:rPr>
              <w:t>echnische</w:t>
            </w:r>
            <w:r w:rsidR="0067537B" w:rsidRPr="00895AB8">
              <w:rPr>
                <w:rFonts w:ascii="Arial" w:hAnsi="Arial" w:cs="Arial"/>
                <w:b/>
                <w:sz w:val="20"/>
              </w:rPr>
              <w:t xml:space="preserve"> Hinweis</w:t>
            </w:r>
            <w:r w:rsidR="00895AB8" w:rsidRPr="00895AB8">
              <w:rPr>
                <w:rFonts w:ascii="Arial" w:hAnsi="Arial" w:cs="Arial"/>
                <w:b/>
                <w:sz w:val="20"/>
              </w:rPr>
              <w:t>e</w:t>
            </w:r>
            <w:r w:rsidR="001E319C" w:rsidRPr="00895AB8">
              <w:rPr>
                <w:rFonts w:ascii="Arial" w:hAnsi="Arial" w:cs="Arial"/>
                <w:b/>
                <w:sz w:val="20"/>
              </w:rPr>
              <w:t>:</w:t>
            </w:r>
          </w:p>
          <w:p w14:paraId="77ACBE08" w14:textId="230EEC2E" w:rsidR="00895AB8" w:rsidRPr="00895AB8" w:rsidRDefault="00895AB8" w:rsidP="00895AB8">
            <w:pPr>
              <w:pStyle w:val="Listenabsatz"/>
              <w:numPr>
                <w:ilvl w:val="0"/>
                <w:numId w:val="35"/>
              </w:numPr>
              <w:rPr>
                <w:rFonts w:ascii="Arial" w:hAnsi="Arial" w:cs="Arial"/>
                <w:sz w:val="20"/>
              </w:rPr>
            </w:pPr>
            <w:r w:rsidRPr="00895AB8">
              <w:rPr>
                <w:rFonts w:ascii="Arial" w:hAnsi="Arial" w:cs="Arial"/>
                <w:sz w:val="20"/>
              </w:rPr>
              <w:t>Geeignetes Dämmmaterial erhält man im Baumarkt, z.B. Luftpolsterfolie als Meterware oder Wä</w:t>
            </w:r>
            <w:r w:rsidRPr="00895AB8">
              <w:rPr>
                <w:rFonts w:ascii="Arial" w:hAnsi="Arial" w:cs="Arial"/>
                <w:sz w:val="20"/>
              </w:rPr>
              <w:t>r</w:t>
            </w:r>
            <w:r w:rsidRPr="00895AB8">
              <w:rPr>
                <w:rFonts w:ascii="Arial" w:hAnsi="Arial" w:cs="Arial"/>
                <w:sz w:val="20"/>
              </w:rPr>
              <w:t>medämmung für Rohre (passend zu kleineren Bechergläsern).</w:t>
            </w:r>
          </w:p>
          <w:p w14:paraId="377B64BD" w14:textId="48C36635" w:rsidR="003F25E9" w:rsidRPr="00895AB8" w:rsidRDefault="00895AB8" w:rsidP="00895AB8">
            <w:pPr>
              <w:pStyle w:val="Listenabsatz"/>
              <w:numPr>
                <w:ilvl w:val="0"/>
                <w:numId w:val="35"/>
              </w:numPr>
              <w:rPr>
                <w:rFonts w:ascii="Arial" w:hAnsi="Arial" w:cs="Arial"/>
                <w:sz w:val="20"/>
              </w:rPr>
            </w:pPr>
            <w:r w:rsidRPr="00895AB8">
              <w:rPr>
                <w:rFonts w:ascii="Arial" w:hAnsi="Arial" w:cs="Arial"/>
                <w:sz w:val="20"/>
              </w:rPr>
              <w:t xml:space="preserve">vgl. </w:t>
            </w:r>
            <w:hyperlink r:id="rId10" w:history="1">
              <w:r w:rsidRPr="00895AB8">
                <w:rPr>
                  <w:rStyle w:val="Hyperlink"/>
                  <w:rFonts w:ascii="Arial" w:hAnsi="Arial" w:cs="Arial"/>
                  <w:sz w:val="20"/>
                </w:rPr>
                <w:t>4403_Energiebox_2.docx</w:t>
              </w:r>
            </w:hyperlink>
          </w:p>
        </w:tc>
      </w:tr>
    </w:tbl>
    <w:p w14:paraId="07E1608B" w14:textId="031455D5" w:rsidR="00D6746E" w:rsidRPr="0076723E" w:rsidRDefault="00D6746E" w:rsidP="00AA33AE">
      <w:pPr>
        <w:rPr>
          <w:rFonts w:ascii="Arial" w:hAnsi="Arial" w:cs="Arial"/>
        </w:rPr>
      </w:pPr>
    </w:p>
    <w:sectPr w:rsidR="00D6746E" w:rsidRPr="0076723E" w:rsidSect="006836EA">
      <w:footerReference w:type="default" r:id="rId11"/>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79CA1" w14:textId="77777777" w:rsidR="00402EAF" w:rsidRDefault="00402EAF">
      <w:pPr>
        <w:spacing w:after="0"/>
      </w:pPr>
      <w:r>
        <w:separator/>
      </w:r>
    </w:p>
  </w:endnote>
  <w:endnote w:type="continuationSeparator" w:id="0">
    <w:p w14:paraId="03CB9101" w14:textId="77777777" w:rsidR="00402EAF" w:rsidRDefault="00402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697D454B" w:rsidR="003920BD" w:rsidRPr="0076723E" w:rsidRDefault="00E85A48" w:rsidP="00E85A48">
    <w:pPr>
      <w:pStyle w:val="Fuzeile"/>
      <w:tabs>
        <w:tab w:val="clear" w:pos="4536"/>
        <w:tab w:val="clear" w:pos="9072"/>
        <w:tab w:val="center" w:pos="4820"/>
        <w:tab w:val="right" w:pos="9639"/>
      </w:tabs>
      <w:rPr>
        <w:rFonts w:ascii="Arial" w:hAnsi="Arial" w:cs="Arial"/>
        <w:color w:val="999999"/>
      </w:rPr>
    </w:pPr>
    <w:r w:rsidRPr="0076723E">
      <w:rPr>
        <w:rFonts w:ascii="Arial" w:hAnsi="Arial" w:cs="Arial"/>
        <w:color w:val="999999"/>
      </w:rPr>
      <w:t xml:space="preserve">ZPG BNT </w:t>
    </w:r>
    <w:r w:rsidR="0076723E">
      <w:rPr>
        <w:rFonts w:ascii="Arial" w:hAnsi="Arial" w:cs="Arial"/>
        <w:color w:val="999999"/>
      </w:rPr>
      <w:t>2017</w:t>
    </w:r>
    <w:r w:rsidRPr="0076723E">
      <w:rPr>
        <w:rFonts w:ascii="Arial" w:hAnsi="Arial" w:cs="Arial"/>
        <w:color w:val="999999"/>
      </w:rPr>
      <w:tab/>
    </w:r>
    <w:r w:rsidRPr="0076723E">
      <w:rPr>
        <w:rFonts w:ascii="Arial" w:hAnsi="Arial" w:cs="Arial"/>
        <w:color w:val="999999"/>
      </w:rPr>
      <w:tab/>
    </w:r>
    <w:r w:rsidRPr="0076723E">
      <w:rPr>
        <w:rFonts w:ascii="Arial" w:hAnsi="Arial" w:cs="Arial"/>
        <w:color w:val="999999"/>
      </w:rPr>
      <w:fldChar w:fldCharType="begin"/>
    </w:r>
    <w:r w:rsidRPr="0076723E">
      <w:rPr>
        <w:rFonts w:ascii="Arial" w:hAnsi="Arial" w:cs="Arial"/>
        <w:color w:val="999999"/>
      </w:rPr>
      <w:instrText xml:space="preserve"> FILENAME   \* MERGEFORMAT </w:instrText>
    </w:r>
    <w:r w:rsidRPr="0076723E">
      <w:rPr>
        <w:rFonts w:ascii="Arial" w:hAnsi="Arial" w:cs="Arial"/>
        <w:color w:val="999999"/>
      </w:rPr>
      <w:fldChar w:fldCharType="separate"/>
    </w:r>
    <w:r w:rsidR="00415F75">
      <w:rPr>
        <w:rFonts w:ascii="Arial" w:hAnsi="Arial" w:cs="Arial"/>
        <w:noProof/>
        <w:color w:val="999999"/>
      </w:rPr>
      <w:t>4601_Hinweise.docx</w:t>
    </w:r>
    <w:r w:rsidRPr="0076723E">
      <w:rPr>
        <w:rFonts w:ascii="Arial" w:hAnsi="Arial" w:cs="Arial"/>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E2BB" w14:textId="77777777" w:rsidR="00402EAF" w:rsidRDefault="00402EAF">
      <w:pPr>
        <w:spacing w:after="0"/>
      </w:pPr>
      <w:r>
        <w:separator/>
      </w:r>
    </w:p>
  </w:footnote>
  <w:footnote w:type="continuationSeparator" w:id="0">
    <w:p w14:paraId="1295A6E9" w14:textId="77777777" w:rsidR="00402EAF" w:rsidRDefault="00402E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6A69CF"/>
    <w:multiLevelType w:val="hybridMultilevel"/>
    <w:tmpl w:val="AED227F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1192E97"/>
    <w:multiLevelType w:val="hybridMultilevel"/>
    <w:tmpl w:val="E4D8CD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9F6A1F"/>
    <w:multiLevelType w:val="hybridMultilevel"/>
    <w:tmpl w:val="25C8CA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8E31714"/>
    <w:multiLevelType w:val="hybridMultilevel"/>
    <w:tmpl w:val="2304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2C6FBC"/>
    <w:multiLevelType w:val="hybridMultilevel"/>
    <w:tmpl w:val="969A0C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6">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6CA4B3A"/>
    <w:multiLevelType w:val="hybridMultilevel"/>
    <w:tmpl w:val="503C6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507E23"/>
    <w:multiLevelType w:val="hybridMultilevel"/>
    <w:tmpl w:val="16681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E65E0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165E80"/>
    <w:multiLevelType w:val="hybridMultilevel"/>
    <w:tmpl w:val="18CCA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9"/>
  </w:num>
  <w:num w:numId="4">
    <w:abstractNumId w:val="0"/>
  </w:num>
  <w:num w:numId="5">
    <w:abstractNumId w:val="18"/>
  </w:num>
  <w:num w:numId="6">
    <w:abstractNumId w:val="5"/>
  </w:num>
  <w:num w:numId="7">
    <w:abstractNumId w:val="17"/>
  </w:num>
  <w:num w:numId="8">
    <w:abstractNumId w:val="28"/>
  </w:num>
  <w:num w:numId="9">
    <w:abstractNumId w:val="31"/>
  </w:num>
  <w:num w:numId="10">
    <w:abstractNumId w:val="33"/>
  </w:num>
  <w:num w:numId="11">
    <w:abstractNumId w:val="7"/>
  </w:num>
  <w:num w:numId="12">
    <w:abstractNumId w:val="23"/>
  </w:num>
  <w:num w:numId="13">
    <w:abstractNumId w:val="9"/>
  </w:num>
  <w:num w:numId="14">
    <w:abstractNumId w:val="20"/>
  </w:num>
  <w:num w:numId="15">
    <w:abstractNumId w:val="13"/>
  </w:num>
  <w:num w:numId="16">
    <w:abstractNumId w:val="32"/>
  </w:num>
  <w:num w:numId="17">
    <w:abstractNumId w:val="29"/>
  </w:num>
  <w:num w:numId="18">
    <w:abstractNumId w:val="3"/>
  </w:num>
  <w:num w:numId="19">
    <w:abstractNumId w:val="6"/>
  </w:num>
  <w:num w:numId="20">
    <w:abstractNumId w:val="8"/>
  </w:num>
  <w:num w:numId="21">
    <w:abstractNumId w:val="25"/>
  </w:num>
  <w:num w:numId="22">
    <w:abstractNumId w:val="28"/>
  </w:num>
  <w:num w:numId="23">
    <w:abstractNumId w:val="33"/>
  </w:num>
  <w:num w:numId="24">
    <w:abstractNumId w:val="15"/>
  </w:num>
  <w:num w:numId="25">
    <w:abstractNumId w:val="35"/>
  </w:num>
  <w:num w:numId="26">
    <w:abstractNumId w:val="16"/>
  </w:num>
  <w:num w:numId="27">
    <w:abstractNumId w:val="1"/>
  </w:num>
  <w:num w:numId="28">
    <w:abstractNumId w:val="10"/>
  </w:num>
  <w:num w:numId="29">
    <w:abstractNumId w:val="2"/>
  </w:num>
  <w:num w:numId="30">
    <w:abstractNumId w:val="21"/>
  </w:num>
  <w:num w:numId="31">
    <w:abstractNumId w:val="12"/>
  </w:num>
  <w:num w:numId="32">
    <w:abstractNumId w:val="4"/>
  </w:num>
  <w:num w:numId="33">
    <w:abstractNumId w:val="24"/>
  </w:num>
  <w:num w:numId="34">
    <w:abstractNumId w:val="14"/>
  </w:num>
  <w:num w:numId="35">
    <w:abstractNumId w:val="30"/>
  </w:num>
  <w:num w:numId="36">
    <w:abstractNumId w:val="22"/>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CBE"/>
    <w:rsid w:val="0001415D"/>
    <w:rsid w:val="00014FCA"/>
    <w:rsid w:val="000217B6"/>
    <w:rsid w:val="00022A08"/>
    <w:rsid w:val="00051D70"/>
    <w:rsid w:val="000626E0"/>
    <w:rsid w:val="0006757B"/>
    <w:rsid w:val="0007008E"/>
    <w:rsid w:val="00071B50"/>
    <w:rsid w:val="000735A5"/>
    <w:rsid w:val="000807A7"/>
    <w:rsid w:val="000907A0"/>
    <w:rsid w:val="000A0A36"/>
    <w:rsid w:val="000A307D"/>
    <w:rsid w:val="000A3F1F"/>
    <w:rsid w:val="000A4B4F"/>
    <w:rsid w:val="000B0219"/>
    <w:rsid w:val="000B244F"/>
    <w:rsid w:val="000B3C55"/>
    <w:rsid w:val="000C06D2"/>
    <w:rsid w:val="000C52C3"/>
    <w:rsid w:val="000E589C"/>
    <w:rsid w:val="000E65EF"/>
    <w:rsid w:val="000F4BE9"/>
    <w:rsid w:val="000F5B32"/>
    <w:rsid w:val="000F7D50"/>
    <w:rsid w:val="0011218F"/>
    <w:rsid w:val="0011406A"/>
    <w:rsid w:val="00115B64"/>
    <w:rsid w:val="00131E2D"/>
    <w:rsid w:val="00144AF8"/>
    <w:rsid w:val="00153166"/>
    <w:rsid w:val="00164428"/>
    <w:rsid w:val="00166B06"/>
    <w:rsid w:val="001953EA"/>
    <w:rsid w:val="0019665F"/>
    <w:rsid w:val="001C35CF"/>
    <w:rsid w:val="001D152E"/>
    <w:rsid w:val="001D238D"/>
    <w:rsid w:val="001D673D"/>
    <w:rsid w:val="001E319C"/>
    <w:rsid w:val="001F1562"/>
    <w:rsid w:val="001F1F91"/>
    <w:rsid w:val="001F442F"/>
    <w:rsid w:val="001F6AD6"/>
    <w:rsid w:val="002039B4"/>
    <w:rsid w:val="0020680A"/>
    <w:rsid w:val="00211910"/>
    <w:rsid w:val="00213BC5"/>
    <w:rsid w:val="0024733B"/>
    <w:rsid w:val="00265805"/>
    <w:rsid w:val="0027112C"/>
    <w:rsid w:val="00281D35"/>
    <w:rsid w:val="00291E64"/>
    <w:rsid w:val="00295B9E"/>
    <w:rsid w:val="002A4D08"/>
    <w:rsid w:val="002B5A22"/>
    <w:rsid w:val="002D711D"/>
    <w:rsid w:val="002F0817"/>
    <w:rsid w:val="00305B98"/>
    <w:rsid w:val="00322993"/>
    <w:rsid w:val="003363A3"/>
    <w:rsid w:val="0034208F"/>
    <w:rsid w:val="00353714"/>
    <w:rsid w:val="00356EE7"/>
    <w:rsid w:val="0036547B"/>
    <w:rsid w:val="003720A1"/>
    <w:rsid w:val="00372D32"/>
    <w:rsid w:val="00374949"/>
    <w:rsid w:val="0039132C"/>
    <w:rsid w:val="003920BD"/>
    <w:rsid w:val="003A7873"/>
    <w:rsid w:val="003B15E7"/>
    <w:rsid w:val="003B2CBD"/>
    <w:rsid w:val="003C11FB"/>
    <w:rsid w:val="003C35C5"/>
    <w:rsid w:val="003D4C40"/>
    <w:rsid w:val="003D513E"/>
    <w:rsid w:val="003F25E9"/>
    <w:rsid w:val="003F7911"/>
    <w:rsid w:val="00402EAF"/>
    <w:rsid w:val="0041393F"/>
    <w:rsid w:val="00415F75"/>
    <w:rsid w:val="004216DD"/>
    <w:rsid w:val="00422CFE"/>
    <w:rsid w:val="00431F63"/>
    <w:rsid w:val="00435DC7"/>
    <w:rsid w:val="00440E78"/>
    <w:rsid w:val="00441A28"/>
    <w:rsid w:val="00444553"/>
    <w:rsid w:val="00445C3D"/>
    <w:rsid w:val="00446190"/>
    <w:rsid w:val="004548D7"/>
    <w:rsid w:val="00460EFC"/>
    <w:rsid w:val="00482B39"/>
    <w:rsid w:val="00484795"/>
    <w:rsid w:val="00491FC2"/>
    <w:rsid w:val="0049369D"/>
    <w:rsid w:val="004A65F2"/>
    <w:rsid w:val="004D16DF"/>
    <w:rsid w:val="00500E93"/>
    <w:rsid w:val="00504142"/>
    <w:rsid w:val="00504485"/>
    <w:rsid w:val="0050677A"/>
    <w:rsid w:val="00507406"/>
    <w:rsid w:val="00507D20"/>
    <w:rsid w:val="0051338F"/>
    <w:rsid w:val="00514F5F"/>
    <w:rsid w:val="00521246"/>
    <w:rsid w:val="00522875"/>
    <w:rsid w:val="00555BB4"/>
    <w:rsid w:val="00557D26"/>
    <w:rsid w:val="00562089"/>
    <w:rsid w:val="005754A6"/>
    <w:rsid w:val="00591A69"/>
    <w:rsid w:val="005C3C53"/>
    <w:rsid w:val="005C5731"/>
    <w:rsid w:val="005C7A83"/>
    <w:rsid w:val="005D09CB"/>
    <w:rsid w:val="005E4271"/>
    <w:rsid w:val="005E4B14"/>
    <w:rsid w:val="005F0B4A"/>
    <w:rsid w:val="005F168A"/>
    <w:rsid w:val="005F620C"/>
    <w:rsid w:val="006157C7"/>
    <w:rsid w:val="0063228E"/>
    <w:rsid w:val="00632DE1"/>
    <w:rsid w:val="00642847"/>
    <w:rsid w:val="006579C0"/>
    <w:rsid w:val="006606C3"/>
    <w:rsid w:val="00661E61"/>
    <w:rsid w:val="00662BE4"/>
    <w:rsid w:val="006668E5"/>
    <w:rsid w:val="00666C1F"/>
    <w:rsid w:val="0067537B"/>
    <w:rsid w:val="006836EA"/>
    <w:rsid w:val="00687D7F"/>
    <w:rsid w:val="00695E04"/>
    <w:rsid w:val="006B21DD"/>
    <w:rsid w:val="006D2A84"/>
    <w:rsid w:val="006D4030"/>
    <w:rsid w:val="006E53CE"/>
    <w:rsid w:val="0070216F"/>
    <w:rsid w:val="00707807"/>
    <w:rsid w:val="00715CD1"/>
    <w:rsid w:val="00717A9D"/>
    <w:rsid w:val="007218BC"/>
    <w:rsid w:val="0072414F"/>
    <w:rsid w:val="0072470C"/>
    <w:rsid w:val="00744135"/>
    <w:rsid w:val="00745719"/>
    <w:rsid w:val="00754524"/>
    <w:rsid w:val="00763039"/>
    <w:rsid w:val="0076723E"/>
    <w:rsid w:val="00773740"/>
    <w:rsid w:val="00773B4F"/>
    <w:rsid w:val="0077754B"/>
    <w:rsid w:val="00792937"/>
    <w:rsid w:val="0079300F"/>
    <w:rsid w:val="007A3624"/>
    <w:rsid w:val="007C5490"/>
    <w:rsid w:val="007D0099"/>
    <w:rsid w:val="007D3B0F"/>
    <w:rsid w:val="007D3CA3"/>
    <w:rsid w:val="007D7F12"/>
    <w:rsid w:val="00803571"/>
    <w:rsid w:val="00811269"/>
    <w:rsid w:val="008175BF"/>
    <w:rsid w:val="0082279C"/>
    <w:rsid w:val="00830A93"/>
    <w:rsid w:val="00835A0F"/>
    <w:rsid w:val="0084567B"/>
    <w:rsid w:val="00852EFA"/>
    <w:rsid w:val="0085352E"/>
    <w:rsid w:val="0086062D"/>
    <w:rsid w:val="00866520"/>
    <w:rsid w:val="00871240"/>
    <w:rsid w:val="00872272"/>
    <w:rsid w:val="00880094"/>
    <w:rsid w:val="00895AB8"/>
    <w:rsid w:val="008B035A"/>
    <w:rsid w:val="008C1255"/>
    <w:rsid w:val="008D73D2"/>
    <w:rsid w:val="008E687E"/>
    <w:rsid w:val="008F1000"/>
    <w:rsid w:val="008F32B6"/>
    <w:rsid w:val="008F6360"/>
    <w:rsid w:val="008F7622"/>
    <w:rsid w:val="00902378"/>
    <w:rsid w:val="009024F0"/>
    <w:rsid w:val="00903D5A"/>
    <w:rsid w:val="00905EE7"/>
    <w:rsid w:val="00923FA5"/>
    <w:rsid w:val="00924F80"/>
    <w:rsid w:val="00926142"/>
    <w:rsid w:val="00942586"/>
    <w:rsid w:val="00964A06"/>
    <w:rsid w:val="00984C1C"/>
    <w:rsid w:val="00987ACD"/>
    <w:rsid w:val="00997560"/>
    <w:rsid w:val="009A0DE5"/>
    <w:rsid w:val="009B185C"/>
    <w:rsid w:val="009B6972"/>
    <w:rsid w:val="009B7213"/>
    <w:rsid w:val="009C5F7A"/>
    <w:rsid w:val="009D50DF"/>
    <w:rsid w:val="009F44AA"/>
    <w:rsid w:val="00A03F11"/>
    <w:rsid w:val="00A17512"/>
    <w:rsid w:val="00A21B9F"/>
    <w:rsid w:val="00A224FF"/>
    <w:rsid w:val="00A23344"/>
    <w:rsid w:val="00A45924"/>
    <w:rsid w:val="00A50371"/>
    <w:rsid w:val="00A507A4"/>
    <w:rsid w:val="00A55EFD"/>
    <w:rsid w:val="00A60EDC"/>
    <w:rsid w:val="00A627D3"/>
    <w:rsid w:val="00A63C74"/>
    <w:rsid w:val="00A64A8D"/>
    <w:rsid w:val="00A70CF4"/>
    <w:rsid w:val="00A75278"/>
    <w:rsid w:val="00AA33AE"/>
    <w:rsid w:val="00AB002E"/>
    <w:rsid w:val="00AD2965"/>
    <w:rsid w:val="00AD528F"/>
    <w:rsid w:val="00AD6259"/>
    <w:rsid w:val="00AE0ADC"/>
    <w:rsid w:val="00AE2676"/>
    <w:rsid w:val="00AF3453"/>
    <w:rsid w:val="00B1207F"/>
    <w:rsid w:val="00B14DC1"/>
    <w:rsid w:val="00B17F14"/>
    <w:rsid w:val="00B32C72"/>
    <w:rsid w:val="00B347AD"/>
    <w:rsid w:val="00B37158"/>
    <w:rsid w:val="00B40D44"/>
    <w:rsid w:val="00B45845"/>
    <w:rsid w:val="00B57FA7"/>
    <w:rsid w:val="00B66C52"/>
    <w:rsid w:val="00B67A03"/>
    <w:rsid w:val="00B67B1E"/>
    <w:rsid w:val="00B72FEC"/>
    <w:rsid w:val="00B766E9"/>
    <w:rsid w:val="00B82497"/>
    <w:rsid w:val="00B846AE"/>
    <w:rsid w:val="00B96E8D"/>
    <w:rsid w:val="00BA1955"/>
    <w:rsid w:val="00BB5864"/>
    <w:rsid w:val="00BC105D"/>
    <w:rsid w:val="00BD19AA"/>
    <w:rsid w:val="00BD62EA"/>
    <w:rsid w:val="00BF3E14"/>
    <w:rsid w:val="00C02349"/>
    <w:rsid w:val="00C16418"/>
    <w:rsid w:val="00C22B89"/>
    <w:rsid w:val="00C23DDB"/>
    <w:rsid w:val="00C3060A"/>
    <w:rsid w:val="00C346EE"/>
    <w:rsid w:val="00C46E1A"/>
    <w:rsid w:val="00C62616"/>
    <w:rsid w:val="00C62824"/>
    <w:rsid w:val="00C7357B"/>
    <w:rsid w:val="00C74D13"/>
    <w:rsid w:val="00C83547"/>
    <w:rsid w:val="00C848D1"/>
    <w:rsid w:val="00C84CE4"/>
    <w:rsid w:val="00C87830"/>
    <w:rsid w:val="00C92DEF"/>
    <w:rsid w:val="00CB1EEF"/>
    <w:rsid w:val="00CB76EC"/>
    <w:rsid w:val="00CC317C"/>
    <w:rsid w:val="00CD457B"/>
    <w:rsid w:val="00CF6B1D"/>
    <w:rsid w:val="00D000BA"/>
    <w:rsid w:val="00D024F7"/>
    <w:rsid w:val="00D22F67"/>
    <w:rsid w:val="00D27A47"/>
    <w:rsid w:val="00D456B9"/>
    <w:rsid w:val="00D4605F"/>
    <w:rsid w:val="00D6746E"/>
    <w:rsid w:val="00D73036"/>
    <w:rsid w:val="00D827D8"/>
    <w:rsid w:val="00D85BEF"/>
    <w:rsid w:val="00D967C7"/>
    <w:rsid w:val="00D97C37"/>
    <w:rsid w:val="00DB2400"/>
    <w:rsid w:val="00DB440B"/>
    <w:rsid w:val="00DB5156"/>
    <w:rsid w:val="00DE0A4B"/>
    <w:rsid w:val="00DF14D3"/>
    <w:rsid w:val="00E02E56"/>
    <w:rsid w:val="00E068E8"/>
    <w:rsid w:val="00E130FE"/>
    <w:rsid w:val="00E16370"/>
    <w:rsid w:val="00E213DF"/>
    <w:rsid w:val="00E36630"/>
    <w:rsid w:val="00E444E3"/>
    <w:rsid w:val="00E444EC"/>
    <w:rsid w:val="00E47179"/>
    <w:rsid w:val="00E53123"/>
    <w:rsid w:val="00E668C1"/>
    <w:rsid w:val="00E76B19"/>
    <w:rsid w:val="00E81746"/>
    <w:rsid w:val="00E85A48"/>
    <w:rsid w:val="00EB12E3"/>
    <w:rsid w:val="00EB2677"/>
    <w:rsid w:val="00EC5D09"/>
    <w:rsid w:val="00ED358B"/>
    <w:rsid w:val="00ED4433"/>
    <w:rsid w:val="00ED44D1"/>
    <w:rsid w:val="00EF0A78"/>
    <w:rsid w:val="00EF134F"/>
    <w:rsid w:val="00EF204F"/>
    <w:rsid w:val="00EF470B"/>
    <w:rsid w:val="00F12BD0"/>
    <w:rsid w:val="00F16A24"/>
    <w:rsid w:val="00F226DD"/>
    <w:rsid w:val="00F306EA"/>
    <w:rsid w:val="00F355A6"/>
    <w:rsid w:val="00F371C0"/>
    <w:rsid w:val="00F417C0"/>
    <w:rsid w:val="00F42ABE"/>
    <w:rsid w:val="00F45F3E"/>
    <w:rsid w:val="00F56E07"/>
    <w:rsid w:val="00F729E3"/>
    <w:rsid w:val="00F81816"/>
    <w:rsid w:val="00F91923"/>
    <w:rsid w:val="00F91FCE"/>
    <w:rsid w:val="00F94D75"/>
    <w:rsid w:val="00FA1BFA"/>
    <w:rsid w:val="00FA1EB5"/>
    <w:rsid w:val="00FA2C73"/>
    <w:rsid w:val="00FA43C3"/>
    <w:rsid w:val="00FD179D"/>
    <w:rsid w:val="00FD417E"/>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680358160">
      <w:bodyDiv w:val="1"/>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1896774109">
      <w:bodyDiv w:val="1"/>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44_Energietransport/4403_Energiebox_2.docx" TargetMode="External"/><Relationship Id="rId4" Type="http://schemas.microsoft.com/office/2007/relationships/stylesWithEffects" Target="stylesWithEffects.xml"/><Relationship Id="rId9" Type="http://schemas.openxmlformats.org/officeDocument/2006/relationships/hyperlink" Target="../44_Energietransport/443_Waermestrahlung/4433_AB1_Waermestrahlung.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1DD3-206D-4122-B510-2AC714E0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3237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10</cp:revision>
  <cp:lastPrinted>2017-03-15T23:29:00Z</cp:lastPrinted>
  <dcterms:created xsi:type="dcterms:W3CDTF">2016-11-06T22:20:00Z</dcterms:created>
  <dcterms:modified xsi:type="dcterms:W3CDTF">2017-03-15T23:30:00Z</dcterms:modified>
</cp:coreProperties>
</file>