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EA3E14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EA3E14" w:rsidRPr="00BC5E70" w:rsidRDefault="00EA3E14" w:rsidP="00EA3E14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Säuren und Basen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EA3E14" w:rsidRPr="00BC5E70" w:rsidRDefault="00EA3E14" w:rsidP="00EA3E14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2C62B9" w:rsidRPr="00912865" w:rsidRDefault="002C62B9" w:rsidP="00EA3E14">
      <w:pPr>
        <w:spacing w:before="360" w:after="0"/>
        <w:rPr>
          <w:sz w:val="28"/>
        </w:rPr>
      </w:pPr>
      <w:r w:rsidRPr="00912865">
        <w:rPr>
          <w:sz w:val="28"/>
        </w:rPr>
        <w:t>AUFGABE</w:t>
      </w:r>
    </w:p>
    <w:p w:rsidR="0014015A" w:rsidRPr="00912865" w:rsidRDefault="00106600">
      <w:pPr>
        <w:rPr>
          <w:sz w:val="24"/>
        </w:rPr>
      </w:pPr>
      <w:r w:rsidRPr="00912865">
        <w:rPr>
          <w:sz w:val="24"/>
        </w:rPr>
        <w:t xml:space="preserve">Setze dich deinem Banknachbarn gegenüber. </w:t>
      </w:r>
      <w:r w:rsidR="002C62B9" w:rsidRPr="00912865">
        <w:rPr>
          <w:sz w:val="24"/>
        </w:rPr>
        <w:t xml:space="preserve">Falte das Blatt </w:t>
      </w:r>
      <w:r w:rsidRPr="00912865">
        <w:rPr>
          <w:sz w:val="24"/>
        </w:rPr>
        <w:t>in der M</w:t>
      </w:r>
      <w:bookmarkStart w:id="0" w:name="_GoBack"/>
      <w:bookmarkEnd w:id="0"/>
      <w:r w:rsidRPr="00912865">
        <w:rPr>
          <w:sz w:val="24"/>
        </w:rPr>
        <w:t>itte der Länge nach.</w:t>
      </w:r>
      <w:r w:rsidR="001C016F" w:rsidRPr="00912865">
        <w:rPr>
          <w:sz w:val="24"/>
        </w:rPr>
        <w:t xml:space="preserve"> </w:t>
      </w:r>
      <w:r w:rsidRPr="00912865">
        <w:rPr>
          <w:sz w:val="24"/>
        </w:rPr>
        <w:t xml:space="preserve"> </w:t>
      </w:r>
      <w:r w:rsidR="00971B12" w:rsidRPr="00912865">
        <w:rPr>
          <w:sz w:val="24"/>
        </w:rPr>
        <w:t>Fragt euch abwechselnd nach den Fachbegriffen</w:t>
      </w:r>
      <w:r w:rsidR="00E1430B" w:rsidRPr="00912865">
        <w:rPr>
          <w:sz w:val="24"/>
        </w:rPr>
        <w:t xml:space="preserve"> bzw. Erklärungen der Fachbegriffe</w:t>
      </w:r>
      <w:r w:rsidR="00971B12" w:rsidRPr="00912865">
        <w:rPr>
          <w:sz w:val="24"/>
        </w:rPr>
        <w:t>: e</w:t>
      </w:r>
      <w:r w:rsidRPr="00912865">
        <w:rPr>
          <w:sz w:val="24"/>
        </w:rPr>
        <w:t>in S</w:t>
      </w:r>
      <w:r w:rsidR="00971B12" w:rsidRPr="00912865">
        <w:rPr>
          <w:sz w:val="24"/>
        </w:rPr>
        <w:t xml:space="preserve">chüler liest immer die gelbe Zeile, der andere die weißen Zeile… dann tauscht ihr die Zeilen und </w:t>
      </w:r>
      <w:r w:rsidR="00F77527" w:rsidRPr="00912865">
        <w:rPr>
          <w:sz w:val="24"/>
        </w:rPr>
        <w:t>beginnt erneut.</w:t>
      </w:r>
    </w:p>
    <w:p w:rsidR="0014015A" w:rsidRDefault="0014015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29EB" w:rsidRPr="00912865" w:rsidTr="00774C97">
        <w:trPr>
          <w:trHeight w:val="567"/>
        </w:trPr>
        <w:tc>
          <w:tcPr>
            <w:tcW w:w="4606" w:type="dxa"/>
            <w:shd w:val="clear" w:color="auto" w:fill="FFFFFF" w:themeFill="background1"/>
            <w:vAlign w:val="center"/>
          </w:tcPr>
          <w:p w:rsidR="004229EB" w:rsidRPr="00912865" w:rsidRDefault="004229EB" w:rsidP="004238E6">
            <w:pPr>
              <w:rPr>
                <w:sz w:val="24"/>
              </w:rPr>
            </w:pPr>
            <w:r w:rsidRPr="00912865">
              <w:rPr>
                <w:sz w:val="24"/>
              </w:rPr>
              <w:lastRenderedPageBreak/>
              <w:t>Ziel: Du wiederholst und festigst Fach</w:t>
            </w:r>
            <w:r w:rsidR="00912865">
              <w:rPr>
                <w:sz w:val="24"/>
              </w:rPr>
              <w:t>-</w:t>
            </w:r>
            <w:proofErr w:type="spellStart"/>
            <w:r w:rsidRPr="00912865">
              <w:rPr>
                <w:sz w:val="24"/>
              </w:rPr>
              <w:t>begriffe</w:t>
            </w:r>
            <w:proofErr w:type="spellEnd"/>
            <w:r w:rsidRPr="00912865">
              <w:rPr>
                <w:sz w:val="24"/>
              </w:rPr>
              <w:t xml:space="preserve"> und chemische Zusammenhänge rund um das Thema Säure/Base.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4229EB" w:rsidRPr="00912865" w:rsidRDefault="004229EB" w:rsidP="00585D98">
            <w:pPr>
              <w:rPr>
                <w:sz w:val="24"/>
              </w:rPr>
            </w:pPr>
            <w:r w:rsidRPr="00912865">
              <w:rPr>
                <w:sz w:val="24"/>
              </w:rPr>
              <w:t>Ziel: Du wiederholst und festigst Fach</w:t>
            </w:r>
            <w:r w:rsidR="00912865">
              <w:rPr>
                <w:sz w:val="24"/>
              </w:rPr>
              <w:t>-</w:t>
            </w:r>
            <w:proofErr w:type="spellStart"/>
            <w:r w:rsidRPr="00912865">
              <w:rPr>
                <w:sz w:val="24"/>
              </w:rPr>
              <w:t>begriffe</w:t>
            </w:r>
            <w:proofErr w:type="spellEnd"/>
            <w:r w:rsidRPr="00912865">
              <w:rPr>
                <w:sz w:val="24"/>
              </w:rPr>
              <w:t xml:space="preserve"> und chemische Zusammenhänge rund um das Thema Säure/Base.</w:t>
            </w:r>
          </w:p>
        </w:tc>
      </w:tr>
      <w:tr w:rsidR="002C62B9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2C62B9" w:rsidRDefault="005E15DC" w:rsidP="004238E6">
            <w:r>
              <w:t>zwei</w:t>
            </w:r>
            <w:r w:rsidR="002C62B9">
              <w:t xml:space="preserve"> andere Fachbegriffe für </w:t>
            </w:r>
            <w:r w:rsidR="004238E6">
              <w:br/>
            </w:r>
            <w:r w:rsidR="002A2C45">
              <w:t>„</w:t>
            </w:r>
            <w:r w:rsidR="002C62B9">
              <w:t>S</w:t>
            </w:r>
            <w:r w:rsidR="00F55246">
              <w:t>äure-Base-</w:t>
            </w:r>
            <w:r w:rsidR="002C62B9">
              <w:t>Reaktion</w:t>
            </w:r>
            <w:r w:rsidR="002A2C45">
              <w:t>“</w:t>
            </w:r>
            <w:r w:rsidR="004229EB">
              <w:t xml:space="preserve">: </w:t>
            </w:r>
          </w:p>
          <w:p w:rsidR="004229EB" w:rsidRDefault="004229EB" w:rsidP="004229EB">
            <w:r>
              <w:t>Protolyse, Protonenübertragungsreaktion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2C62B9" w:rsidRDefault="002C62B9" w:rsidP="00585D98"/>
        </w:tc>
      </w:tr>
      <w:tr w:rsidR="00067521" w:rsidRPr="00067521" w:rsidTr="00774C97">
        <w:trPr>
          <w:trHeight w:val="851"/>
        </w:trPr>
        <w:tc>
          <w:tcPr>
            <w:tcW w:w="4606" w:type="dxa"/>
            <w:vAlign w:val="center"/>
          </w:tcPr>
          <w:p w:rsidR="002C62B9" w:rsidRPr="00067521" w:rsidRDefault="002C62B9" w:rsidP="00420FF2"/>
        </w:tc>
        <w:tc>
          <w:tcPr>
            <w:tcW w:w="4606" w:type="dxa"/>
            <w:vAlign w:val="center"/>
          </w:tcPr>
          <w:p w:rsidR="00E66077" w:rsidRDefault="00E66077" w:rsidP="00585D98">
            <w:r w:rsidRPr="00067521">
              <w:t>Beispiel für eine Säure, die (bei RT) als Feststoff vorliegt</w:t>
            </w:r>
            <w:r>
              <w:t xml:space="preserve">: </w:t>
            </w:r>
          </w:p>
          <w:p w:rsidR="002C62B9" w:rsidRPr="00067521" w:rsidRDefault="002C62B9" w:rsidP="00585D98">
            <w:r w:rsidRPr="00067521">
              <w:t>Zitronensäure</w:t>
            </w:r>
          </w:p>
        </w:tc>
      </w:tr>
      <w:tr w:rsidR="002C62B9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2C62B9" w:rsidRDefault="002B33CE" w:rsidP="004238E6">
            <w:r>
              <w:t>Definit</w:t>
            </w:r>
            <w:r w:rsidR="005E15DC">
              <w:t>i</w:t>
            </w:r>
            <w:r>
              <w:t>on von Säure nach BRÖNSTED</w:t>
            </w:r>
            <w:r w:rsidR="004238E6">
              <w:t xml:space="preserve"> (1 Wort)</w:t>
            </w:r>
            <w:r w:rsidR="00E66077">
              <w:t>:</w:t>
            </w:r>
          </w:p>
          <w:p w:rsidR="00E66077" w:rsidRDefault="00E66077" w:rsidP="004238E6">
            <w:proofErr w:type="spellStart"/>
            <w:r>
              <w:t>Protonendonator</w:t>
            </w:r>
            <w:proofErr w:type="spellEnd"/>
          </w:p>
        </w:tc>
        <w:tc>
          <w:tcPr>
            <w:tcW w:w="4606" w:type="dxa"/>
            <w:shd w:val="clear" w:color="auto" w:fill="FFFF00"/>
            <w:vAlign w:val="center"/>
          </w:tcPr>
          <w:p w:rsidR="002C62B9" w:rsidRDefault="002C62B9" w:rsidP="00585D98"/>
        </w:tc>
      </w:tr>
      <w:tr w:rsidR="002C62B9" w:rsidTr="00774C97">
        <w:trPr>
          <w:trHeight w:val="851"/>
        </w:trPr>
        <w:tc>
          <w:tcPr>
            <w:tcW w:w="4606" w:type="dxa"/>
            <w:vAlign w:val="center"/>
          </w:tcPr>
          <w:p w:rsidR="002C62B9" w:rsidRDefault="002C62B9" w:rsidP="004238E6"/>
        </w:tc>
        <w:tc>
          <w:tcPr>
            <w:tcW w:w="4606" w:type="dxa"/>
            <w:vAlign w:val="center"/>
          </w:tcPr>
          <w:p w:rsidR="00E66077" w:rsidRDefault="00E66077" w:rsidP="00585D98">
            <w:r>
              <w:t>Formel und Name für die Ionen, die für eine saure Lösung charakteristisch sind:</w:t>
            </w:r>
          </w:p>
          <w:p w:rsidR="002C62B9" w:rsidRDefault="00CF3D76" w:rsidP="00585D98">
            <w:r>
              <w:t>H</w:t>
            </w:r>
            <w:r w:rsidRPr="00A53FD1">
              <w:rPr>
                <w:vertAlign w:val="subscript"/>
              </w:rPr>
              <w:t>3</w:t>
            </w:r>
            <w:r>
              <w:t>O</w:t>
            </w:r>
            <w:r w:rsidRPr="00A53FD1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   </w:t>
            </w:r>
            <w:proofErr w:type="spellStart"/>
            <w:r w:rsidR="00A53FD1">
              <w:t>Oxoniumionen</w:t>
            </w:r>
            <w:proofErr w:type="spellEnd"/>
            <w:r w:rsidR="00A53FD1">
              <w:t xml:space="preserve"> </w:t>
            </w:r>
          </w:p>
        </w:tc>
      </w:tr>
      <w:tr w:rsidR="002C62B9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2C62B9" w:rsidRDefault="004238E6" w:rsidP="004238E6">
            <w:r>
              <w:t xml:space="preserve">Definition von </w:t>
            </w:r>
            <w:r w:rsidR="009F25BD">
              <w:t>„</w:t>
            </w:r>
            <w:r w:rsidR="00D671CD">
              <w:t>amphotere Teilchen</w:t>
            </w:r>
            <w:r w:rsidR="009F25BD">
              <w:t>“</w:t>
            </w:r>
            <w:r w:rsidR="00E66077">
              <w:t>:</w:t>
            </w:r>
          </w:p>
          <w:p w:rsidR="00E66077" w:rsidRDefault="00E66077" w:rsidP="004238E6">
            <w:r>
              <w:t>Sie können sowohl als Säure als auch als Base reagieren.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2C62B9" w:rsidRDefault="002C62B9" w:rsidP="00585D98"/>
        </w:tc>
      </w:tr>
      <w:tr w:rsidR="002C62B9" w:rsidTr="00774C97">
        <w:trPr>
          <w:trHeight w:val="851"/>
        </w:trPr>
        <w:tc>
          <w:tcPr>
            <w:tcW w:w="4606" w:type="dxa"/>
            <w:vAlign w:val="center"/>
          </w:tcPr>
          <w:p w:rsidR="002C62B9" w:rsidRDefault="002C62B9" w:rsidP="00585D98"/>
        </w:tc>
        <w:tc>
          <w:tcPr>
            <w:tcW w:w="4606" w:type="dxa"/>
            <w:vAlign w:val="center"/>
          </w:tcPr>
          <w:p w:rsidR="002C62B9" w:rsidRDefault="00E66077" w:rsidP="00E66077">
            <w:r>
              <w:t xml:space="preserve">Beispiel für eine Säure, die (bei RT) als Flüssigkeit vorliegt:  </w:t>
            </w:r>
            <w:r w:rsidR="00A53FD1">
              <w:t>Schwefelsäure (Salzsäure ist keine Säure sondern eine saure Lösung!)</w:t>
            </w:r>
          </w:p>
        </w:tc>
      </w:tr>
      <w:tr w:rsidR="005F2CDF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5F2CDF" w:rsidRDefault="005646A7" w:rsidP="00585D98">
            <w:r>
              <w:t xml:space="preserve">Definition von </w:t>
            </w:r>
            <w:r w:rsidR="00FB056A">
              <w:t>„</w:t>
            </w:r>
            <w:r w:rsidR="005F2CDF">
              <w:t>Indikator</w:t>
            </w:r>
            <w:r>
              <w:t>“</w:t>
            </w:r>
            <w:r w:rsidR="00E66077">
              <w:t xml:space="preserve">: </w:t>
            </w:r>
          </w:p>
          <w:p w:rsidR="00E66077" w:rsidRDefault="00E66077" w:rsidP="00585D98">
            <w:r>
              <w:t>Stoff, der durch Farbreaktion anzeigt, ob eine saure, alkalische oder neutrale Lösung vorliegt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5F2CDF" w:rsidRDefault="005F2CDF" w:rsidP="00585D98"/>
        </w:tc>
      </w:tr>
      <w:tr w:rsidR="005F2CDF" w:rsidTr="00774C97">
        <w:trPr>
          <w:trHeight w:val="851"/>
        </w:trPr>
        <w:tc>
          <w:tcPr>
            <w:tcW w:w="4606" w:type="dxa"/>
            <w:vAlign w:val="center"/>
          </w:tcPr>
          <w:p w:rsidR="005F2CDF" w:rsidRDefault="005F2CDF" w:rsidP="00585D98"/>
        </w:tc>
        <w:tc>
          <w:tcPr>
            <w:tcW w:w="4606" w:type="dxa"/>
            <w:vAlign w:val="center"/>
          </w:tcPr>
          <w:p w:rsidR="00FB056A" w:rsidRDefault="00774C97" w:rsidP="00585D98">
            <w:r>
              <w:t xml:space="preserve">allgemeine Wortgleichung für die Neutralisation: </w:t>
            </w:r>
            <w:r w:rsidR="00CF61E8">
              <w:t>saure Lösung + alkalische Lösung</w:t>
            </w:r>
          </w:p>
          <w:p w:rsidR="005F2CDF" w:rsidRDefault="00CF61E8" w:rsidP="00585D98">
            <w:r>
              <w:t xml:space="preserve"> </w:t>
            </w:r>
            <w:r>
              <w:sym w:font="Wingdings" w:char="F0E0"/>
            </w:r>
            <w:r>
              <w:t xml:space="preserve"> Salz + Wasser</w:t>
            </w:r>
          </w:p>
        </w:tc>
      </w:tr>
      <w:tr w:rsidR="005F2CDF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5F2CDF" w:rsidRDefault="00774C97" w:rsidP="005646A7">
            <w:r>
              <w:t>pH-Wert einer sauren Lösung: pH &lt; 7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5F2CDF" w:rsidRDefault="005F2CDF" w:rsidP="00585D98"/>
        </w:tc>
      </w:tr>
      <w:tr w:rsidR="005F2CDF" w:rsidTr="00774C97">
        <w:trPr>
          <w:trHeight w:val="851"/>
        </w:trPr>
        <w:tc>
          <w:tcPr>
            <w:tcW w:w="4606" w:type="dxa"/>
            <w:vAlign w:val="center"/>
          </w:tcPr>
          <w:p w:rsidR="005F2CDF" w:rsidRDefault="005F2CDF" w:rsidP="005646A7"/>
        </w:tc>
        <w:tc>
          <w:tcPr>
            <w:tcW w:w="4606" w:type="dxa"/>
            <w:vAlign w:val="center"/>
          </w:tcPr>
          <w:p w:rsidR="00316382" w:rsidRDefault="00774C97" w:rsidP="00585D98">
            <w:r>
              <w:t xml:space="preserve">Formel und Einheit für die Stoffmengenkonzentration :      </w:t>
            </w:r>
            <w:r w:rsidR="00D552AD">
              <w:t xml:space="preserve">c = n : V      </w:t>
            </w:r>
            <w:proofErr w:type="spellStart"/>
            <w:r w:rsidR="00D552AD">
              <w:t>mol</w:t>
            </w:r>
            <w:proofErr w:type="spellEnd"/>
            <w:r w:rsidR="00D552AD">
              <w:t>/L</w:t>
            </w:r>
          </w:p>
        </w:tc>
      </w:tr>
      <w:tr w:rsidR="005F2CDF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5F2CDF" w:rsidRDefault="005D7A40" w:rsidP="00585D98">
            <w:r>
              <w:t>Beispiel für eine Säure</w:t>
            </w:r>
            <w:r w:rsidR="00420FF2">
              <w:t>, die (bei RT) als Gas vorliegt</w:t>
            </w:r>
            <w:r w:rsidR="00774C97">
              <w:t>: Chlorwasserstoff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5F2CDF" w:rsidRDefault="005F2CDF" w:rsidP="00585D98"/>
        </w:tc>
      </w:tr>
      <w:tr w:rsidR="005F2CDF" w:rsidTr="00774C97">
        <w:trPr>
          <w:trHeight w:val="851"/>
        </w:trPr>
        <w:tc>
          <w:tcPr>
            <w:tcW w:w="4606" w:type="dxa"/>
            <w:vAlign w:val="center"/>
          </w:tcPr>
          <w:p w:rsidR="00420FF2" w:rsidRDefault="009B440C" w:rsidP="00420FF2">
            <w:r>
              <w:t>korrespondierende</w:t>
            </w:r>
            <w:r w:rsidR="005D7A40">
              <w:t xml:space="preserve"> Säure-Base-Paare </w:t>
            </w:r>
            <w:r>
              <w:t>bei</w:t>
            </w:r>
            <w:r w:rsidR="005D7A40">
              <w:t xml:space="preserve">    </w:t>
            </w:r>
          </w:p>
          <w:p w:rsidR="009B440C" w:rsidRDefault="00420FF2" w:rsidP="00420FF2">
            <w:r>
              <w:t xml:space="preserve">   </w:t>
            </w:r>
            <w:r w:rsidR="005D7A40">
              <w:t xml:space="preserve"> </w:t>
            </w:r>
            <w:r w:rsidR="009B440C">
              <w:t>H</w:t>
            </w:r>
            <w:r w:rsidR="009B440C" w:rsidRPr="009B440C">
              <w:rPr>
                <w:vertAlign w:val="subscript"/>
              </w:rPr>
              <w:t>2</w:t>
            </w:r>
            <w:r w:rsidR="009B440C">
              <w:t>O    H</w:t>
            </w:r>
            <w:r w:rsidR="009B440C" w:rsidRPr="009B440C">
              <w:rPr>
                <w:vertAlign w:val="subscript"/>
              </w:rPr>
              <w:t>3</w:t>
            </w:r>
            <w:r w:rsidR="009B440C">
              <w:t>O</w:t>
            </w:r>
            <w:r w:rsidR="009B440C" w:rsidRPr="009B440C">
              <w:rPr>
                <w:vertAlign w:val="superscript"/>
              </w:rPr>
              <w:t>+</w:t>
            </w:r>
            <w:r w:rsidR="009B440C">
              <w:t xml:space="preserve">    OH</w:t>
            </w:r>
            <w:r w:rsidR="009B440C" w:rsidRPr="009B440C">
              <w:rPr>
                <w:vertAlign w:val="superscript"/>
              </w:rPr>
              <w:t>-</w:t>
            </w:r>
          </w:p>
        </w:tc>
        <w:tc>
          <w:tcPr>
            <w:tcW w:w="4606" w:type="dxa"/>
            <w:vAlign w:val="center"/>
          </w:tcPr>
          <w:p w:rsidR="005F2CDF" w:rsidRDefault="00616BA5" w:rsidP="00585D98">
            <w:r>
              <w:t>H</w:t>
            </w:r>
            <w:r w:rsidRPr="009B440C">
              <w:rPr>
                <w:vertAlign w:val="subscript"/>
              </w:rPr>
              <w:t>3</w:t>
            </w:r>
            <w:r>
              <w:t>O</w:t>
            </w:r>
            <w:r w:rsidRPr="009B440C">
              <w:rPr>
                <w:vertAlign w:val="superscript"/>
              </w:rPr>
              <w:t>+</w:t>
            </w:r>
            <w:r>
              <w:t xml:space="preserve"> / H</w:t>
            </w:r>
            <w:r w:rsidRPr="009B440C">
              <w:rPr>
                <w:vertAlign w:val="subscript"/>
              </w:rPr>
              <w:t>2</w:t>
            </w:r>
            <w:r>
              <w:t>O</w:t>
            </w:r>
          </w:p>
          <w:p w:rsidR="00616BA5" w:rsidRDefault="00616BA5" w:rsidP="00585D98">
            <w:r>
              <w:t>H</w:t>
            </w:r>
            <w:r w:rsidRPr="009B440C">
              <w:rPr>
                <w:vertAlign w:val="subscript"/>
              </w:rPr>
              <w:t>2</w:t>
            </w:r>
            <w:r>
              <w:t>O / OH</w:t>
            </w:r>
            <w:r w:rsidRPr="009B440C">
              <w:rPr>
                <w:vertAlign w:val="superscript"/>
              </w:rPr>
              <w:t>-</w:t>
            </w:r>
          </w:p>
        </w:tc>
      </w:tr>
      <w:tr w:rsidR="005F2CDF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CF3D76" w:rsidRDefault="00CF3D76" w:rsidP="00420FF2">
            <w:r>
              <w:t>Formel und Name für die Ionen, die für eine alkalisc</w:t>
            </w:r>
            <w:r w:rsidR="00420FF2">
              <w:t>he Lösung charakteristisch sind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5F2CDF" w:rsidRDefault="00CF3D76" w:rsidP="00585D98">
            <w:r>
              <w:t>OH</w:t>
            </w:r>
            <w:r w:rsidRPr="00016193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   </w:t>
            </w:r>
            <w:r w:rsidR="005F2CDF">
              <w:t xml:space="preserve">Hydroxidionen </w:t>
            </w:r>
          </w:p>
        </w:tc>
      </w:tr>
      <w:tr w:rsidR="005F2CDF" w:rsidTr="00774C97">
        <w:trPr>
          <w:trHeight w:val="851"/>
        </w:trPr>
        <w:tc>
          <w:tcPr>
            <w:tcW w:w="4606" w:type="dxa"/>
            <w:vAlign w:val="center"/>
          </w:tcPr>
          <w:p w:rsidR="005F2CDF" w:rsidRDefault="00CF3D76" w:rsidP="00420FF2">
            <w:r>
              <w:t>F</w:t>
            </w:r>
            <w:r w:rsidR="00550E09">
              <w:t>arb</w:t>
            </w:r>
            <w:r>
              <w:t xml:space="preserve">umschlag </w:t>
            </w:r>
            <w:r w:rsidR="00420FF2">
              <w:t>von</w:t>
            </w:r>
            <w:r>
              <w:t xml:space="preserve"> </w:t>
            </w:r>
            <w:r w:rsidR="00550E09">
              <w:t xml:space="preserve">Phenolphthalein </w:t>
            </w:r>
            <w:r>
              <w:t xml:space="preserve">vom sauren zum </w:t>
            </w:r>
            <w:r w:rsidR="00550E09">
              <w:t>alkalischen</w:t>
            </w:r>
            <w:r w:rsidR="00420FF2">
              <w:t xml:space="preserve"> Bereich</w:t>
            </w:r>
          </w:p>
        </w:tc>
        <w:tc>
          <w:tcPr>
            <w:tcW w:w="4606" w:type="dxa"/>
            <w:vAlign w:val="center"/>
          </w:tcPr>
          <w:p w:rsidR="00550E09" w:rsidRDefault="00550E09" w:rsidP="00585D98">
            <w:r>
              <w:t>farblos</w:t>
            </w:r>
            <w:r w:rsidR="00CF3D76">
              <w:t xml:space="preserve"> </w:t>
            </w:r>
            <w:r w:rsidR="00CF3D76">
              <w:sym w:font="Wingdings" w:char="F0E0"/>
            </w:r>
            <w:r w:rsidR="00CF3D76">
              <w:t xml:space="preserve"> </w:t>
            </w:r>
            <w:r>
              <w:t>pink</w:t>
            </w:r>
          </w:p>
        </w:tc>
      </w:tr>
      <w:tr w:rsidR="005F2CDF" w:rsidTr="00774C97">
        <w:trPr>
          <w:trHeight w:val="851"/>
        </w:trPr>
        <w:tc>
          <w:tcPr>
            <w:tcW w:w="4606" w:type="dxa"/>
            <w:shd w:val="clear" w:color="auto" w:fill="FFFF00"/>
            <w:vAlign w:val="center"/>
          </w:tcPr>
          <w:p w:rsidR="005F2CDF" w:rsidRDefault="009F2119" w:rsidP="00585D98">
            <w:r>
              <w:t xml:space="preserve">Einheit für </w:t>
            </w:r>
            <w:r w:rsidR="00164872">
              <w:t xml:space="preserve">die </w:t>
            </w:r>
            <w:r>
              <w:t xml:space="preserve">molare Masse 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5F2CDF" w:rsidRDefault="009F2119" w:rsidP="00585D98">
            <w:r>
              <w:t>g/</w:t>
            </w:r>
            <w:proofErr w:type="spellStart"/>
            <w:r>
              <w:t>mol</w:t>
            </w:r>
            <w:proofErr w:type="spellEnd"/>
          </w:p>
        </w:tc>
      </w:tr>
    </w:tbl>
    <w:p w:rsidR="002C62B9" w:rsidRPr="00912865" w:rsidRDefault="002C62B9" w:rsidP="00585D98">
      <w:pPr>
        <w:rPr>
          <w:sz w:val="12"/>
        </w:rPr>
      </w:pPr>
    </w:p>
    <w:sectPr w:rsidR="002C62B9" w:rsidRPr="0091286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96" w:rsidRDefault="00DC4196" w:rsidP="00425B2B">
      <w:pPr>
        <w:spacing w:after="0" w:line="240" w:lineRule="auto"/>
      </w:pPr>
      <w:r>
        <w:separator/>
      </w:r>
    </w:p>
  </w:endnote>
  <w:endnote w:type="continuationSeparator" w:id="0">
    <w:p w:rsidR="00DC4196" w:rsidRDefault="00DC4196" w:rsidP="004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2B" w:rsidRPr="002B0CBB" w:rsidRDefault="002B0CBB" w:rsidP="002B0CB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Partnerarbeit_M077_Ue1_SB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96" w:rsidRDefault="00DC4196" w:rsidP="00425B2B">
      <w:pPr>
        <w:spacing w:after="0" w:line="240" w:lineRule="auto"/>
      </w:pPr>
      <w:r>
        <w:separator/>
      </w:r>
    </w:p>
  </w:footnote>
  <w:footnote w:type="continuationSeparator" w:id="0">
    <w:p w:rsidR="00DC4196" w:rsidRDefault="00DC4196" w:rsidP="00425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9"/>
    <w:rsid w:val="00016193"/>
    <w:rsid w:val="00033668"/>
    <w:rsid w:val="00067521"/>
    <w:rsid w:val="00106600"/>
    <w:rsid w:val="0014015A"/>
    <w:rsid w:val="00164872"/>
    <w:rsid w:val="001937BD"/>
    <w:rsid w:val="00197C3B"/>
    <w:rsid w:val="001C016F"/>
    <w:rsid w:val="00287AC7"/>
    <w:rsid w:val="002A2C45"/>
    <w:rsid w:val="002B0CBB"/>
    <w:rsid w:val="002B33CE"/>
    <w:rsid w:val="002C62B9"/>
    <w:rsid w:val="00316382"/>
    <w:rsid w:val="00420FF2"/>
    <w:rsid w:val="004229EB"/>
    <w:rsid w:val="004238E6"/>
    <w:rsid w:val="00425B2B"/>
    <w:rsid w:val="004379E0"/>
    <w:rsid w:val="00460FAB"/>
    <w:rsid w:val="00550E09"/>
    <w:rsid w:val="0055726D"/>
    <w:rsid w:val="005646A7"/>
    <w:rsid w:val="00585D98"/>
    <w:rsid w:val="005D7A40"/>
    <w:rsid w:val="005E0A56"/>
    <w:rsid w:val="005E15DC"/>
    <w:rsid w:val="005F24C3"/>
    <w:rsid w:val="005F2CDF"/>
    <w:rsid w:val="00616BA5"/>
    <w:rsid w:val="0063521A"/>
    <w:rsid w:val="00692DCC"/>
    <w:rsid w:val="007224F7"/>
    <w:rsid w:val="00774C97"/>
    <w:rsid w:val="008770B8"/>
    <w:rsid w:val="008D7632"/>
    <w:rsid w:val="00912865"/>
    <w:rsid w:val="009458C2"/>
    <w:rsid w:val="00964B75"/>
    <w:rsid w:val="00971B12"/>
    <w:rsid w:val="009745A5"/>
    <w:rsid w:val="009B440C"/>
    <w:rsid w:val="009C7124"/>
    <w:rsid w:val="009F2119"/>
    <w:rsid w:val="009F25BD"/>
    <w:rsid w:val="00A53FD1"/>
    <w:rsid w:val="00AB70EA"/>
    <w:rsid w:val="00B85442"/>
    <w:rsid w:val="00BF3F98"/>
    <w:rsid w:val="00CD0367"/>
    <w:rsid w:val="00CF3D76"/>
    <w:rsid w:val="00CF61E8"/>
    <w:rsid w:val="00D552AD"/>
    <w:rsid w:val="00D671CD"/>
    <w:rsid w:val="00DC4196"/>
    <w:rsid w:val="00E06EBB"/>
    <w:rsid w:val="00E1430B"/>
    <w:rsid w:val="00E66077"/>
    <w:rsid w:val="00E97057"/>
    <w:rsid w:val="00EA3E14"/>
    <w:rsid w:val="00F15D3E"/>
    <w:rsid w:val="00F55246"/>
    <w:rsid w:val="00F77527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4957-DE1D-46FF-A2C8-CBE8C637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2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B2B"/>
  </w:style>
  <w:style w:type="paragraph" w:styleId="Fuzeile">
    <w:name w:val="footer"/>
    <w:basedOn w:val="Standard"/>
    <w:link w:val="FuzeileZchn"/>
    <w:uiPriority w:val="99"/>
    <w:unhideWhenUsed/>
    <w:rsid w:val="0042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10</cp:revision>
  <cp:lastPrinted>2014-03-16T10:30:00Z</cp:lastPrinted>
  <dcterms:created xsi:type="dcterms:W3CDTF">2014-03-07T11:09:00Z</dcterms:created>
  <dcterms:modified xsi:type="dcterms:W3CDTF">2014-04-07T18:53:00Z</dcterms:modified>
</cp:coreProperties>
</file>