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2C2" w:rsidRDefault="00AF52C2" w:rsidP="00AF52C2">
      <w:pPr>
        <w:pStyle w:val="berschrift2"/>
        <w:spacing w:before="0" w:line="240" w:lineRule="auto"/>
      </w:pPr>
      <w:r>
        <w:t>Arbeitsblatt  –</w:t>
      </w:r>
      <w:r w:rsidR="003739E3">
        <w:t xml:space="preserve"> Elektronenabstände zum Kern</w:t>
      </w:r>
    </w:p>
    <w:p w:rsidR="00707E11" w:rsidRDefault="00707E11" w:rsidP="00750E1A">
      <w:pPr>
        <w:spacing w:after="0" w:line="240" w:lineRule="auto"/>
      </w:pPr>
    </w:p>
    <w:p w:rsidR="00707E11" w:rsidRPr="00E3540C" w:rsidRDefault="002D6CF0" w:rsidP="00750E1A">
      <w:pPr>
        <w:spacing w:after="0" w:line="240" w:lineRule="auto"/>
        <w:rPr>
          <w:b/>
        </w:rPr>
      </w:pPr>
      <w:r w:rsidRPr="00E3540C">
        <w:rPr>
          <w:b/>
        </w:rPr>
        <w:t>Kompetenzen: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842"/>
        <w:gridCol w:w="2300"/>
      </w:tblGrid>
      <w:tr w:rsidR="002D6CF0" w:rsidTr="009A1437">
        <w:tc>
          <w:tcPr>
            <w:tcW w:w="3070" w:type="dxa"/>
          </w:tcPr>
          <w:p w:rsidR="002D6CF0" w:rsidRDefault="002D6CF0" w:rsidP="00750E1A">
            <w:r>
              <w:t>Inhalt</w:t>
            </w:r>
          </w:p>
        </w:tc>
        <w:tc>
          <w:tcPr>
            <w:tcW w:w="3842" w:type="dxa"/>
          </w:tcPr>
          <w:p w:rsidR="002D6CF0" w:rsidRDefault="002D6CF0" w:rsidP="00750E1A">
            <w:proofErr w:type="spellStart"/>
            <w:r>
              <w:t>pbK</w:t>
            </w:r>
            <w:proofErr w:type="spellEnd"/>
          </w:p>
        </w:tc>
        <w:tc>
          <w:tcPr>
            <w:tcW w:w="2300" w:type="dxa"/>
          </w:tcPr>
          <w:p w:rsidR="002D6CF0" w:rsidRDefault="002D6CF0" w:rsidP="00750E1A">
            <w:proofErr w:type="spellStart"/>
            <w:r>
              <w:t>ibK</w:t>
            </w:r>
            <w:proofErr w:type="spellEnd"/>
          </w:p>
        </w:tc>
      </w:tr>
      <w:tr w:rsidR="002D6CF0" w:rsidTr="009A1437">
        <w:tc>
          <w:tcPr>
            <w:tcW w:w="3070" w:type="dxa"/>
          </w:tcPr>
          <w:p w:rsidR="002D6CF0" w:rsidRDefault="003739E3" w:rsidP="003739E3">
            <w:r>
              <w:t>Die</w:t>
            </w:r>
            <w:r w:rsidR="00822375">
              <w:t xml:space="preserve"> Ionisierungsenergien bei </w:t>
            </w:r>
            <w:r>
              <w:t>Atomen einer Periode lassen sich gut vergleichen, da die Abstände Elektron-Kern ve</w:t>
            </w:r>
            <w:r>
              <w:t>r</w:t>
            </w:r>
            <w:r>
              <w:t xml:space="preserve">gleichbar groß sind. Je größer die Kernladung, desto höher ist die Ionisierungsenergie und desto kleiner ist der Abstand. </w:t>
            </w:r>
          </w:p>
        </w:tc>
        <w:tc>
          <w:tcPr>
            <w:tcW w:w="3842" w:type="dxa"/>
          </w:tcPr>
          <w:p w:rsidR="00501C9A" w:rsidRDefault="00501C9A" w:rsidP="00501C9A">
            <w:pPr>
              <w:autoSpaceDE w:val="0"/>
              <w:autoSpaceDN w:val="0"/>
              <w:adjustRightInd w:val="0"/>
            </w:pPr>
            <w:r>
              <w:t xml:space="preserve">2.1.13. </w:t>
            </w:r>
            <w:r w:rsidRPr="00501C9A">
              <w:t>ihr physikalisches Wissen a</w:t>
            </w:r>
            <w:r w:rsidRPr="00501C9A">
              <w:t>n</w:t>
            </w:r>
            <w:r w:rsidRPr="00501C9A">
              <w:t>wenden, um Problem- und Aufgabe</w:t>
            </w:r>
            <w:r w:rsidRPr="00501C9A">
              <w:t>n</w:t>
            </w:r>
            <w:r w:rsidRPr="00501C9A">
              <w:t>stellungen zielgerichtet</w:t>
            </w:r>
            <w:r>
              <w:t xml:space="preserve"> </w:t>
            </w:r>
            <w:r w:rsidRPr="00501C9A">
              <w:t>zu lösen</w:t>
            </w:r>
          </w:p>
          <w:p w:rsidR="009C4ABF" w:rsidRDefault="009C4ABF" w:rsidP="009C4ABF">
            <w:pPr>
              <w:autoSpaceDE w:val="0"/>
              <w:autoSpaceDN w:val="0"/>
              <w:adjustRightInd w:val="0"/>
            </w:pPr>
            <w:r>
              <w:t>2.2.</w:t>
            </w:r>
            <w:r w:rsidRPr="009C4ABF">
              <w:t xml:space="preserve"> 2. funktionale Zusammenhänge zwischen physikalischen Größen verbal beschreiben (zum</w:t>
            </w:r>
            <w:r>
              <w:t xml:space="preserve"> </w:t>
            </w:r>
            <w:r w:rsidRPr="009C4ABF">
              <w:t xml:space="preserve">Beispiel „je-desto“-Aussagen) </w:t>
            </w:r>
          </w:p>
          <w:p w:rsidR="009C4ABF" w:rsidRDefault="009C4ABF" w:rsidP="009C4ABF">
            <w:pPr>
              <w:autoSpaceDE w:val="0"/>
              <w:autoSpaceDN w:val="0"/>
              <w:adjustRightInd w:val="0"/>
            </w:pPr>
            <w:r>
              <w:t>2.2.</w:t>
            </w:r>
            <w:r w:rsidRPr="009C4ABF">
              <w:t>6. Sachinformationen und Messd</w:t>
            </w:r>
            <w:r w:rsidRPr="009C4ABF">
              <w:t>a</w:t>
            </w:r>
            <w:r w:rsidRPr="009C4ABF">
              <w:t>ten aus einer Darstellungsform entne</w:t>
            </w:r>
            <w:r w:rsidRPr="009C4ABF">
              <w:t>h</w:t>
            </w:r>
            <w:r w:rsidRPr="009C4ABF">
              <w:t xml:space="preserve">men </w:t>
            </w:r>
          </w:p>
          <w:p w:rsidR="001018AA" w:rsidRPr="00E5603B" w:rsidRDefault="001018AA" w:rsidP="009C4AB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300" w:type="dxa"/>
          </w:tcPr>
          <w:p w:rsidR="00424A8C" w:rsidRPr="00424A8C" w:rsidRDefault="00424A8C" w:rsidP="00424A8C">
            <w:pPr>
              <w:autoSpaceDE w:val="0"/>
              <w:autoSpaceDN w:val="0"/>
              <w:adjustRightInd w:val="0"/>
            </w:pPr>
            <w:r>
              <w:t xml:space="preserve">3.3.1 </w:t>
            </w:r>
            <w:r w:rsidRPr="00424A8C">
              <w:t>(3) die Funktion von Modellen in der Physik erläutern (a</w:t>
            </w:r>
            <w:r w:rsidRPr="00424A8C">
              <w:t>n</w:t>
            </w:r>
            <w:r w:rsidRPr="00424A8C">
              <w:t xml:space="preserve">hand des </w:t>
            </w:r>
            <w:r w:rsidRPr="00424A8C">
              <w:rPr>
                <w:i/>
              </w:rPr>
              <w:t>Teilchenm</w:t>
            </w:r>
            <w:r w:rsidRPr="00424A8C">
              <w:rPr>
                <w:i/>
              </w:rPr>
              <w:t>o</w:t>
            </w:r>
            <w:r w:rsidRPr="00424A8C">
              <w:rPr>
                <w:i/>
              </w:rPr>
              <w:t>dells</w:t>
            </w:r>
            <w:r w:rsidRPr="00424A8C">
              <w:t xml:space="preserve"> und der</w:t>
            </w:r>
          </w:p>
          <w:p w:rsidR="00424A8C" w:rsidRDefault="00424A8C" w:rsidP="00424A8C">
            <w:r w:rsidRPr="00424A8C">
              <w:t xml:space="preserve">Modellvorstellung von </w:t>
            </w:r>
            <w:r w:rsidRPr="00424A8C">
              <w:rPr>
                <w:i/>
              </w:rPr>
              <w:t>Atomen</w:t>
            </w:r>
            <w:r w:rsidRPr="00424A8C">
              <w:t>)</w:t>
            </w:r>
          </w:p>
          <w:p w:rsidR="00E57D8A" w:rsidRPr="00E57D8A" w:rsidRDefault="00E57D8A" w:rsidP="00E57D8A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3.3.4 </w:t>
            </w:r>
            <w:r w:rsidRPr="00E57D8A">
              <w:t>(1) die Struktur der Materie im Übe</w:t>
            </w:r>
            <w:r w:rsidRPr="00E57D8A">
              <w:t>r</w:t>
            </w:r>
            <w:r w:rsidRPr="00E57D8A">
              <w:t>blick beschreiben und den Aufbau des Atoms erläutern (</w:t>
            </w:r>
            <w:r w:rsidRPr="00E57D8A">
              <w:rPr>
                <w:i/>
              </w:rPr>
              <w:t>Atomhülle, Atomkern, Elektron, Proton, Neutron</w:t>
            </w:r>
            <w:r w:rsidRPr="00E57D8A">
              <w:t xml:space="preserve">, Quarks, </w:t>
            </w:r>
            <w:r w:rsidRPr="00E57D8A">
              <w:rPr>
                <w:i/>
              </w:rPr>
              <w:t>Kernladung</w:t>
            </w:r>
            <w:r w:rsidRPr="00E57D8A">
              <w:rPr>
                <w:i/>
              </w:rPr>
              <w:t>s</w:t>
            </w:r>
            <w:r w:rsidRPr="00E57D8A">
              <w:rPr>
                <w:i/>
              </w:rPr>
              <w:t>zahl, Massenzahl,</w:t>
            </w:r>
          </w:p>
          <w:p w:rsidR="00E57D8A" w:rsidRDefault="00E57D8A" w:rsidP="00E57D8A">
            <w:r w:rsidRPr="00E57D8A">
              <w:rPr>
                <w:i/>
              </w:rPr>
              <w:t>Isotope</w:t>
            </w:r>
            <w:r w:rsidRPr="00E57D8A">
              <w:t>)</w:t>
            </w:r>
          </w:p>
        </w:tc>
      </w:tr>
    </w:tbl>
    <w:p w:rsidR="00E3540C" w:rsidRDefault="00E3540C" w:rsidP="00E92231">
      <w:pPr>
        <w:spacing w:after="0" w:line="240" w:lineRule="auto"/>
      </w:pPr>
    </w:p>
    <w:p w:rsidR="00726245" w:rsidRPr="00E3540C" w:rsidRDefault="00726245" w:rsidP="00E92231">
      <w:pPr>
        <w:spacing w:after="0" w:line="240" w:lineRule="auto"/>
        <w:rPr>
          <w:b/>
        </w:rPr>
      </w:pPr>
      <w:r w:rsidRPr="00E3540C">
        <w:rPr>
          <w:b/>
        </w:rPr>
        <w:t>Voraussetzungen:</w:t>
      </w:r>
    </w:p>
    <w:p w:rsidR="00726245" w:rsidRDefault="00E57D8A" w:rsidP="00E92231">
      <w:pPr>
        <w:spacing w:after="0" w:line="240" w:lineRule="auto"/>
      </w:pPr>
      <w:r>
        <w:t xml:space="preserve">Chemie </w:t>
      </w:r>
      <w:r w:rsidR="00726245">
        <w:t>3.</w:t>
      </w:r>
      <w:r>
        <w:t xml:space="preserve">2.1.2 (1) Atome, Moleküle und Ionengruppen als Stoffteilchen beschreiben </w:t>
      </w:r>
    </w:p>
    <w:p w:rsidR="00501C9A" w:rsidRDefault="00501C9A" w:rsidP="00501C9A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>Die Kraft zwischen einem Elektron und dem Kern hängt entscheidend von deren Abstand ab.</w:t>
      </w:r>
    </w:p>
    <w:p w:rsidR="00501C9A" w:rsidRDefault="00501C9A" w:rsidP="00501C9A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Bei geringem Abstand zwischen den Objekten, d. h. bei größerer Anziehungskraft, benötigt man mehr Energie, um die Objekte wieder vollständig zu trennen, als wenn diese weit auseinander sind. </w:t>
      </w:r>
    </w:p>
    <w:p w:rsidR="001E2C02" w:rsidRPr="001E2C02" w:rsidRDefault="001E2C02" w:rsidP="001E2C02">
      <w:pPr>
        <w:autoSpaceDE w:val="0"/>
        <w:autoSpaceDN w:val="0"/>
        <w:adjustRightInd w:val="0"/>
        <w:spacing w:after="0" w:line="240" w:lineRule="auto"/>
      </w:pPr>
    </w:p>
    <w:p w:rsidR="00071B5E" w:rsidRPr="00150428" w:rsidRDefault="00071B5E" w:rsidP="00275E8A">
      <w:pPr>
        <w:spacing w:after="0" w:line="240" w:lineRule="auto"/>
        <w:rPr>
          <w:b/>
        </w:rPr>
      </w:pPr>
      <w:r w:rsidRPr="00150428">
        <w:rPr>
          <w:b/>
        </w:rPr>
        <w:t>Ziele:</w:t>
      </w:r>
    </w:p>
    <w:p w:rsidR="00501C9A" w:rsidRDefault="00501C9A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>Den Zusammenhang zwischen der Größe der Ionisierungsenergie und dem Abstand zwischen dem betreffenden Elektron und Kern erkennen.</w:t>
      </w:r>
    </w:p>
    <w:p w:rsidR="00501C9A" w:rsidRDefault="00501C9A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Die Abschirmung der </w:t>
      </w:r>
      <w:r w:rsidR="002225D5">
        <w:t>Kernladung</w:t>
      </w:r>
      <w:r>
        <w:t xml:space="preserve"> durch die </w:t>
      </w:r>
      <w:r w:rsidR="002225D5">
        <w:t xml:space="preserve">nahe am Kern befindlichen Elektronen erkennen. </w:t>
      </w:r>
    </w:p>
    <w:p w:rsidR="002225D5" w:rsidRDefault="002225D5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Abstoßende Kräfte unter den Elektronen berücksichtigen. </w:t>
      </w:r>
    </w:p>
    <w:p w:rsidR="001E2C02" w:rsidRDefault="002225D5" w:rsidP="009307F9">
      <w:pPr>
        <w:pStyle w:val="Listenabsatz"/>
        <w:numPr>
          <w:ilvl w:val="0"/>
          <w:numId w:val="7"/>
        </w:numPr>
        <w:spacing w:after="0" w:line="240" w:lineRule="auto"/>
        <w:ind w:left="360"/>
      </w:pPr>
      <w:r>
        <w:t xml:space="preserve">Deutliche Unterschiede in den jeweiligen Abständen zum Kern können festgestellt werden. </w:t>
      </w:r>
    </w:p>
    <w:p w:rsidR="00AF52C2" w:rsidRDefault="00AF52C2" w:rsidP="00E92231">
      <w:pPr>
        <w:spacing w:after="0" w:line="240" w:lineRule="auto"/>
      </w:pPr>
    </w:p>
    <w:p w:rsidR="007C2E6D" w:rsidRPr="00AF52C2" w:rsidRDefault="007C2E6D" w:rsidP="007C2E6D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F86C92" w:rsidRDefault="00F86C92" w:rsidP="00F86C92">
      <w:pPr>
        <w:spacing w:after="0" w:line="240" w:lineRule="auto"/>
      </w:pPr>
      <w:r>
        <w:t xml:space="preserve">Welchen Abstand zum Kern haben die Elektronen </w:t>
      </w:r>
      <w:r>
        <w:t>im Atom</w:t>
      </w:r>
      <w:r>
        <w:t xml:space="preserve">?  </w:t>
      </w: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AF52C2" w:rsidRDefault="00AF52C2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E92231">
      <w:pPr>
        <w:spacing w:after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7912A4" w:rsidRDefault="007912A4" w:rsidP="00AF52C2">
      <w:pPr>
        <w:pStyle w:val="berschrift2"/>
        <w:spacing w:before="0" w:line="240" w:lineRule="auto"/>
      </w:pPr>
    </w:p>
    <w:p w:rsidR="00AF52C2" w:rsidRDefault="00AF52C2" w:rsidP="00E92231">
      <w:pPr>
        <w:spacing w:after="0" w:line="240" w:lineRule="auto"/>
      </w:pPr>
    </w:p>
    <w:p w:rsidR="0034788C" w:rsidRDefault="0034788C" w:rsidP="007912A4">
      <w:pPr>
        <w:pStyle w:val="berschrift2"/>
        <w:spacing w:before="0" w:line="240" w:lineRule="auto"/>
      </w:pPr>
    </w:p>
    <w:p w:rsidR="007912A4" w:rsidRDefault="007912A4" w:rsidP="00F2205D">
      <w:pPr>
        <w:spacing w:after="0" w:line="240" w:lineRule="auto"/>
        <w:rPr>
          <w:b/>
        </w:rPr>
      </w:pPr>
    </w:p>
    <w:p w:rsidR="00344649" w:rsidRDefault="00344649" w:rsidP="009218A6">
      <w:pPr>
        <w:pStyle w:val="berschrift2"/>
        <w:spacing w:before="0" w:line="240" w:lineRule="auto"/>
      </w:pPr>
    </w:p>
    <w:p w:rsidR="00344649" w:rsidRDefault="00344649" w:rsidP="009218A6">
      <w:pPr>
        <w:pStyle w:val="berschrift2"/>
        <w:spacing w:before="0" w:line="240" w:lineRule="auto"/>
      </w:pPr>
    </w:p>
    <w:p w:rsidR="009218A6" w:rsidRDefault="009218A6" w:rsidP="00AF52C2">
      <w:pPr>
        <w:spacing w:after="0" w:line="240" w:lineRule="auto"/>
        <w:rPr>
          <w:b/>
        </w:rPr>
      </w:pPr>
    </w:p>
    <w:p w:rsidR="003263F9" w:rsidRDefault="003263F9" w:rsidP="003263F9">
      <w:pPr>
        <w:pStyle w:val="berschrift2"/>
        <w:spacing w:before="0" w:line="240" w:lineRule="auto"/>
      </w:pPr>
      <w:r>
        <w:lastRenderedPageBreak/>
        <w:t xml:space="preserve">Arbeitsblatt  – </w:t>
      </w:r>
      <w:r w:rsidR="003739E3">
        <w:t xml:space="preserve">Elektronenabstände zum Kern </w:t>
      </w:r>
    </w:p>
    <w:p w:rsidR="00344649" w:rsidRDefault="00344649" w:rsidP="00AF52C2">
      <w:pPr>
        <w:spacing w:after="0" w:line="240" w:lineRule="auto"/>
        <w:rPr>
          <w:b/>
        </w:rPr>
      </w:pPr>
    </w:p>
    <w:p w:rsidR="00AF52C2" w:rsidRPr="00AF52C2" w:rsidRDefault="00AF52C2" w:rsidP="00AF52C2">
      <w:pPr>
        <w:spacing w:after="0" w:line="240" w:lineRule="auto"/>
        <w:rPr>
          <w:b/>
        </w:rPr>
      </w:pPr>
      <w:r w:rsidRPr="00AF52C2">
        <w:rPr>
          <w:b/>
        </w:rPr>
        <w:t>Problemstellung:</w:t>
      </w:r>
    </w:p>
    <w:p w:rsidR="009D1D5F" w:rsidRDefault="009D1D5F" w:rsidP="009D1D5F">
      <w:pPr>
        <w:spacing w:after="0" w:line="240" w:lineRule="auto"/>
      </w:pPr>
      <w:r>
        <w:t>Welche</w:t>
      </w:r>
      <w:r w:rsidR="00F86C92">
        <w:t>n</w:t>
      </w:r>
      <w:r>
        <w:t xml:space="preserve"> </w:t>
      </w:r>
      <w:r w:rsidR="00F86C92">
        <w:t>Abstand zum Kern haben die Elektronen im Atom</w:t>
      </w:r>
      <w:r>
        <w:t xml:space="preserve">?  </w:t>
      </w:r>
      <w:bookmarkStart w:id="0" w:name="_GoBack"/>
      <w:bookmarkEnd w:id="0"/>
    </w:p>
    <w:p w:rsidR="009D1D5F" w:rsidRDefault="009D1D5F" w:rsidP="00CD5020">
      <w:pPr>
        <w:spacing w:before="200" w:after="0" w:line="240" w:lineRule="auto"/>
      </w:pPr>
      <w:r>
        <w:t>Die folgende Grafik zeigt die Ionisierungsenergien aller Elektronen der Atome Natrium (Z=11), Ma</w:t>
      </w:r>
      <w:r>
        <w:t>g</w:t>
      </w:r>
      <w:r>
        <w:t>nesium (Z=12) und Aluminium (Z=13).</w:t>
      </w:r>
      <w:r w:rsidR="00F86C92">
        <w:t xml:space="preserve"> </w:t>
      </w:r>
    </w:p>
    <w:p w:rsidR="009D1D5F" w:rsidRDefault="00CD5020" w:rsidP="009D1D5F">
      <w:pPr>
        <w:spacing w:after="0" w:line="240" w:lineRule="auto"/>
      </w:pPr>
      <w:r>
        <w:rPr>
          <w:noProof/>
          <w:lang w:eastAsia="de-DE"/>
        </w:rPr>
        <w:drawing>
          <wp:inline distT="0" distB="0" distL="0" distR="0" wp14:anchorId="74E867EC" wp14:editId="12E7CD6F">
            <wp:extent cx="5764696" cy="2973787"/>
            <wp:effectExtent l="0" t="0" r="26670" b="1714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5020" w:rsidRDefault="00CD5020" w:rsidP="00CD5020">
      <w:pPr>
        <w:spacing w:after="0" w:line="240" w:lineRule="auto"/>
        <w:ind w:firstLine="708"/>
      </w:pPr>
      <w:r>
        <w:t xml:space="preserve">Datenquelle: </w:t>
      </w:r>
      <w:hyperlink r:id="rId9" w:history="1">
        <w:r w:rsidRPr="00590BFF">
          <w:rPr>
            <w:rStyle w:val="Hyperlink"/>
          </w:rPr>
          <w:t>http://www.periodensystem.info/elemente</w:t>
        </w:r>
      </w:hyperlink>
      <w:r>
        <w:t xml:space="preserve"> vom 2.3.2017</w:t>
      </w:r>
    </w:p>
    <w:p w:rsidR="009D1D5F" w:rsidRDefault="009D1D5F" w:rsidP="009D1D5F">
      <w:pPr>
        <w:spacing w:after="0" w:line="240" w:lineRule="auto"/>
      </w:pPr>
    </w:p>
    <w:p w:rsidR="00193A08" w:rsidRDefault="00193A08" w:rsidP="00BB4386">
      <w:pPr>
        <w:spacing w:after="0" w:line="240" w:lineRule="auto"/>
      </w:pPr>
      <w:r w:rsidRPr="00193A08">
        <w:rPr>
          <w:b/>
        </w:rPr>
        <w:t>Aufgaben</w:t>
      </w:r>
      <w:r>
        <w:t xml:space="preserve">: </w:t>
      </w:r>
    </w:p>
    <w:p w:rsidR="009D1D5F" w:rsidRDefault="009D1D5F" w:rsidP="00193A08">
      <w:pPr>
        <w:pStyle w:val="Listenabsatz"/>
        <w:numPr>
          <w:ilvl w:val="0"/>
          <w:numId w:val="21"/>
        </w:numPr>
      </w:pPr>
      <w:r>
        <w:t xml:space="preserve">Vergleiche die Verläufe der Ionisierungsenergien bei diesen 3 verschiedenen Atomen und stelle Gemeinsamkeiten heraus. </w:t>
      </w:r>
    </w:p>
    <w:p w:rsidR="00DC276C" w:rsidRDefault="009E2A56" w:rsidP="00193A08">
      <w:pPr>
        <w:pStyle w:val="Listenabsatz"/>
        <w:numPr>
          <w:ilvl w:val="0"/>
          <w:numId w:val="21"/>
        </w:num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C2A0A86" wp14:editId="23E2AC05">
            <wp:simplePos x="0" y="0"/>
            <wp:positionH relativeFrom="column">
              <wp:posOffset>-33655</wp:posOffset>
            </wp:positionH>
            <wp:positionV relativeFrom="paragraph">
              <wp:posOffset>448945</wp:posOffset>
            </wp:positionV>
            <wp:extent cx="5796280" cy="2496185"/>
            <wp:effectExtent l="0" t="0" r="13970" b="18415"/>
            <wp:wrapTight wrapText="bothSides">
              <wp:wrapPolygon edited="0">
                <wp:start x="0" y="0"/>
                <wp:lineTo x="0" y="21595"/>
                <wp:lineTo x="21581" y="21595"/>
                <wp:lineTo x="21581" y="0"/>
                <wp:lineTo x="0" y="0"/>
              </wp:wrapPolygon>
            </wp:wrapTight>
            <wp:docPr id="2" name="Diagramm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76C">
        <w:t>Gib an, nach wie vielen Elektronen es jeweils zu deutlichen Sprüngen in der Ionisierung</w:t>
      </w:r>
      <w:r w:rsidR="00DC276C">
        <w:t>s</w:t>
      </w:r>
      <w:r w:rsidR="00DC276C">
        <w:t xml:space="preserve">energie kommt. </w:t>
      </w:r>
    </w:p>
    <w:p w:rsidR="00CD5020" w:rsidRDefault="00CD5020" w:rsidP="00CD5020">
      <w:pPr>
        <w:spacing w:after="0" w:line="240" w:lineRule="auto"/>
        <w:ind w:firstLine="708"/>
      </w:pPr>
      <w:r>
        <w:t xml:space="preserve">Datenquelle: </w:t>
      </w:r>
      <w:hyperlink r:id="rId11" w:history="1">
        <w:r w:rsidRPr="00590BFF">
          <w:rPr>
            <w:rStyle w:val="Hyperlink"/>
          </w:rPr>
          <w:t>http://www.periodensystem.info/elemente</w:t>
        </w:r>
      </w:hyperlink>
      <w:r>
        <w:t xml:space="preserve"> vom 2.3.2017</w:t>
      </w:r>
    </w:p>
    <w:p w:rsidR="00FE38C5" w:rsidRDefault="003739E3" w:rsidP="00CD5020">
      <w:pPr>
        <w:pStyle w:val="Listenabsatz"/>
        <w:numPr>
          <w:ilvl w:val="0"/>
          <w:numId w:val="21"/>
        </w:numPr>
        <w:spacing w:before="240" w:after="120" w:line="240" w:lineRule="auto"/>
        <w:ind w:left="714" w:hanging="357"/>
      </w:pPr>
      <w:r>
        <w:t>Beschreibe den Verlauf der Ionisierungsenergien und erläu</w:t>
      </w:r>
      <w:r w:rsidR="00DC276C">
        <w:t xml:space="preserve">tere, worin </w:t>
      </w:r>
      <w:r>
        <w:t xml:space="preserve">sich </w:t>
      </w:r>
      <w:r w:rsidR="00DC276C">
        <w:t xml:space="preserve">aufgrund </w:t>
      </w:r>
      <w:r>
        <w:t xml:space="preserve">dieser Daten ein </w:t>
      </w:r>
      <w:r w:rsidR="00DC276C">
        <w:t>Calcium</w:t>
      </w:r>
      <w:r>
        <w:t>atom</w:t>
      </w:r>
      <w:r w:rsidR="00DC276C">
        <w:t xml:space="preserve"> von den oben behandelten Atomen</w:t>
      </w:r>
      <w:r w:rsidRPr="003739E3">
        <w:t xml:space="preserve"> </w:t>
      </w:r>
      <w:r>
        <w:t>unterscheidet</w:t>
      </w:r>
      <w:r w:rsidR="00DC276C">
        <w:t>.</w:t>
      </w:r>
      <w:r>
        <w:t xml:space="preserve"> </w:t>
      </w:r>
    </w:p>
    <w:sectPr w:rsidR="00FE38C5"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1A2" w:rsidRDefault="007161A2" w:rsidP="00726245">
      <w:pPr>
        <w:spacing w:after="0" w:line="240" w:lineRule="auto"/>
      </w:pPr>
      <w:r>
        <w:separator/>
      </w:r>
    </w:p>
  </w:endnote>
  <w:endnote w:type="continuationSeparator" w:id="0">
    <w:p w:rsidR="007161A2" w:rsidRDefault="007161A2" w:rsidP="0072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58354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26245" w:rsidRDefault="00150428" w:rsidP="00003F70">
            <w:pPr>
              <w:pStyle w:val="Fuzeile"/>
              <w:jc w:val="center"/>
            </w:pPr>
            <w:r>
              <w:t xml:space="preserve">Arbeitsblatt  – </w:t>
            </w:r>
            <w:r w:rsidR="003739E3">
              <w:t>Elektronenabstände zum Kern</w:t>
            </w:r>
            <w:r w:rsidR="003263F9">
              <w:t xml:space="preserve"> </w:t>
            </w:r>
            <w:r w:rsidR="00A23F03">
              <w:tab/>
            </w:r>
            <w:r>
              <w:tab/>
            </w:r>
            <w:r w:rsidR="00726245">
              <w:t xml:space="preserve">Seite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PAGE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F86C92">
              <w:rPr>
                <w:b/>
                <w:bCs/>
                <w:noProof/>
              </w:rPr>
              <w:t>1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  <w:r w:rsidR="00726245">
              <w:t xml:space="preserve"> von </w:t>
            </w:r>
            <w:r w:rsidR="00726245">
              <w:rPr>
                <w:b/>
                <w:bCs/>
                <w:sz w:val="24"/>
                <w:szCs w:val="24"/>
              </w:rPr>
              <w:fldChar w:fldCharType="begin"/>
            </w:r>
            <w:r w:rsidR="00726245">
              <w:rPr>
                <w:b/>
                <w:bCs/>
              </w:rPr>
              <w:instrText>NUMPAGES</w:instrText>
            </w:r>
            <w:r w:rsidR="00726245">
              <w:rPr>
                <w:b/>
                <w:bCs/>
                <w:sz w:val="24"/>
                <w:szCs w:val="24"/>
              </w:rPr>
              <w:fldChar w:fldCharType="separate"/>
            </w:r>
            <w:r w:rsidR="00F86C92">
              <w:rPr>
                <w:b/>
                <w:bCs/>
                <w:noProof/>
              </w:rPr>
              <w:t>2</w:t>
            </w:r>
            <w:r w:rsidR="0072624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6245" w:rsidRDefault="0072624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1A2" w:rsidRDefault="007161A2" w:rsidP="00726245">
      <w:pPr>
        <w:spacing w:after="0" w:line="240" w:lineRule="auto"/>
      </w:pPr>
      <w:r>
        <w:separator/>
      </w:r>
    </w:p>
  </w:footnote>
  <w:footnote w:type="continuationSeparator" w:id="0">
    <w:p w:rsidR="007161A2" w:rsidRDefault="007161A2" w:rsidP="00726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008"/>
    <w:multiLevelType w:val="hybridMultilevel"/>
    <w:tmpl w:val="59EC49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82F39"/>
    <w:multiLevelType w:val="hybridMultilevel"/>
    <w:tmpl w:val="83F4ACBC"/>
    <w:lvl w:ilvl="0" w:tplc="4F783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110A3"/>
    <w:multiLevelType w:val="hybridMultilevel"/>
    <w:tmpl w:val="FD78AE4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C1AF0"/>
    <w:multiLevelType w:val="hybridMultilevel"/>
    <w:tmpl w:val="336AB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C3E7B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D2C60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9B20F3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B5E3B"/>
    <w:multiLevelType w:val="hybridMultilevel"/>
    <w:tmpl w:val="7E6440F6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D0C56A0"/>
    <w:multiLevelType w:val="hybridMultilevel"/>
    <w:tmpl w:val="A1D601E8"/>
    <w:lvl w:ilvl="0" w:tplc="2FE6F3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38FB"/>
    <w:multiLevelType w:val="hybridMultilevel"/>
    <w:tmpl w:val="53AA0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F54AE"/>
    <w:multiLevelType w:val="hybridMultilevel"/>
    <w:tmpl w:val="68422D94"/>
    <w:lvl w:ilvl="0" w:tplc="009EE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C59A8"/>
    <w:multiLevelType w:val="hybridMultilevel"/>
    <w:tmpl w:val="8FE6F0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53510"/>
    <w:multiLevelType w:val="hybridMultilevel"/>
    <w:tmpl w:val="6986CA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961A5"/>
    <w:multiLevelType w:val="hybridMultilevel"/>
    <w:tmpl w:val="0A441BFA"/>
    <w:lvl w:ilvl="0" w:tplc="2FE6F3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431CF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03C27"/>
    <w:multiLevelType w:val="hybridMultilevel"/>
    <w:tmpl w:val="E7FAEB1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85B1E"/>
    <w:multiLevelType w:val="hybridMultilevel"/>
    <w:tmpl w:val="22125F0A"/>
    <w:lvl w:ilvl="0" w:tplc="0407000F">
      <w:start w:val="1"/>
      <w:numFmt w:val="decimal"/>
      <w:lvlText w:val="%1."/>
      <w:lvlJc w:val="left"/>
      <w:pPr>
        <w:ind w:left="1145" w:hanging="360"/>
      </w:pPr>
    </w:lvl>
    <w:lvl w:ilvl="1" w:tplc="04070019" w:tentative="1">
      <w:start w:val="1"/>
      <w:numFmt w:val="lowerLetter"/>
      <w:lvlText w:val="%2."/>
      <w:lvlJc w:val="left"/>
      <w:pPr>
        <w:ind w:left="1865" w:hanging="360"/>
      </w:pPr>
    </w:lvl>
    <w:lvl w:ilvl="2" w:tplc="0407001B" w:tentative="1">
      <w:start w:val="1"/>
      <w:numFmt w:val="lowerRoman"/>
      <w:lvlText w:val="%3."/>
      <w:lvlJc w:val="right"/>
      <w:pPr>
        <w:ind w:left="2585" w:hanging="180"/>
      </w:pPr>
    </w:lvl>
    <w:lvl w:ilvl="3" w:tplc="0407000F" w:tentative="1">
      <w:start w:val="1"/>
      <w:numFmt w:val="decimal"/>
      <w:lvlText w:val="%4."/>
      <w:lvlJc w:val="left"/>
      <w:pPr>
        <w:ind w:left="3305" w:hanging="360"/>
      </w:pPr>
    </w:lvl>
    <w:lvl w:ilvl="4" w:tplc="04070019" w:tentative="1">
      <w:start w:val="1"/>
      <w:numFmt w:val="lowerLetter"/>
      <w:lvlText w:val="%5."/>
      <w:lvlJc w:val="left"/>
      <w:pPr>
        <w:ind w:left="4025" w:hanging="360"/>
      </w:pPr>
    </w:lvl>
    <w:lvl w:ilvl="5" w:tplc="0407001B" w:tentative="1">
      <w:start w:val="1"/>
      <w:numFmt w:val="lowerRoman"/>
      <w:lvlText w:val="%6."/>
      <w:lvlJc w:val="right"/>
      <w:pPr>
        <w:ind w:left="4745" w:hanging="180"/>
      </w:pPr>
    </w:lvl>
    <w:lvl w:ilvl="6" w:tplc="0407000F" w:tentative="1">
      <w:start w:val="1"/>
      <w:numFmt w:val="decimal"/>
      <w:lvlText w:val="%7."/>
      <w:lvlJc w:val="left"/>
      <w:pPr>
        <w:ind w:left="5465" w:hanging="360"/>
      </w:pPr>
    </w:lvl>
    <w:lvl w:ilvl="7" w:tplc="04070019" w:tentative="1">
      <w:start w:val="1"/>
      <w:numFmt w:val="lowerLetter"/>
      <w:lvlText w:val="%8."/>
      <w:lvlJc w:val="left"/>
      <w:pPr>
        <w:ind w:left="6185" w:hanging="360"/>
      </w:pPr>
    </w:lvl>
    <w:lvl w:ilvl="8" w:tplc="0407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5E16F43"/>
    <w:multiLevelType w:val="hybridMultilevel"/>
    <w:tmpl w:val="42E49734"/>
    <w:lvl w:ilvl="0" w:tplc="4872CE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A45398"/>
    <w:multiLevelType w:val="hybridMultilevel"/>
    <w:tmpl w:val="723835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C914EF"/>
    <w:multiLevelType w:val="hybridMultilevel"/>
    <w:tmpl w:val="7428C2D0"/>
    <w:lvl w:ilvl="0" w:tplc="5120A670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97815"/>
    <w:multiLevelType w:val="hybridMultilevel"/>
    <w:tmpl w:val="EBBAF3EE"/>
    <w:lvl w:ilvl="0" w:tplc="0407000F">
      <w:start w:val="1"/>
      <w:numFmt w:val="decimal"/>
      <w:lvlText w:val="%1."/>
      <w:lvlJc w:val="left"/>
      <w:pPr>
        <w:ind w:left="928" w:hanging="360"/>
      </w:pPr>
    </w:lvl>
    <w:lvl w:ilvl="1" w:tplc="04070019" w:tentative="1">
      <w:start w:val="1"/>
      <w:numFmt w:val="lowerLetter"/>
      <w:lvlText w:val="%2."/>
      <w:lvlJc w:val="left"/>
      <w:pPr>
        <w:ind w:left="2357" w:hanging="360"/>
      </w:pPr>
    </w:lvl>
    <w:lvl w:ilvl="2" w:tplc="0407001B" w:tentative="1">
      <w:start w:val="1"/>
      <w:numFmt w:val="lowerRoman"/>
      <w:lvlText w:val="%3."/>
      <w:lvlJc w:val="right"/>
      <w:pPr>
        <w:ind w:left="3077" w:hanging="180"/>
      </w:pPr>
    </w:lvl>
    <w:lvl w:ilvl="3" w:tplc="0407000F" w:tentative="1">
      <w:start w:val="1"/>
      <w:numFmt w:val="decimal"/>
      <w:lvlText w:val="%4."/>
      <w:lvlJc w:val="left"/>
      <w:pPr>
        <w:ind w:left="3797" w:hanging="360"/>
      </w:pPr>
    </w:lvl>
    <w:lvl w:ilvl="4" w:tplc="04070019" w:tentative="1">
      <w:start w:val="1"/>
      <w:numFmt w:val="lowerLetter"/>
      <w:lvlText w:val="%5."/>
      <w:lvlJc w:val="left"/>
      <w:pPr>
        <w:ind w:left="4517" w:hanging="360"/>
      </w:pPr>
    </w:lvl>
    <w:lvl w:ilvl="5" w:tplc="0407001B" w:tentative="1">
      <w:start w:val="1"/>
      <w:numFmt w:val="lowerRoman"/>
      <w:lvlText w:val="%6."/>
      <w:lvlJc w:val="right"/>
      <w:pPr>
        <w:ind w:left="5237" w:hanging="180"/>
      </w:pPr>
    </w:lvl>
    <w:lvl w:ilvl="6" w:tplc="0407000F" w:tentative="1">
      <w:start w:val="1"/>
      <w:numFmt w:val="decimal"/>
      <w:lvlText w:val="%7."/>
      <w:lvlJc w:val="left"/>
      <w:pPr>
        <w:ind w:left="5957" w:hanging="360"/>
      </w:pPr>
    </w:lvl>
    <w:lvl w:ilvl="7" w:tplc="04070019" w:tentative="1">
      <w:start w:val="1"/>
      <w:numFmt w:val="lowerLetter"/>
      <w:lvlText w:val="%8."/>
      <w:lvlJc w:val="left"/>
      <w:pPr>
        <w:ind w:left="6677" w:hanging="360"/>
      </w:pPr>
    </w:lvl>
    <w:lvl w:ilvl="8" w:tplc="040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5F6E5981"/>
    <w:multiLevelType w:val="hybridMultilevel"/>
    <w:tmpl w:val="C2D4D5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3947A7"/>
    <w:multiLevelType w:val="hybridMultilevel"/>
    <w:tmpl w:val="33A46A24"/>
    <w:lvl w:ilvl="0" w:tplc="0407000F">
      <w:start w:val="1"/>
      <w:numFmt w:val="decimal"/>
      <w:lvlText w:val="%1."/>
      <w:lvlJc w:val="left"/>
      <w:pPr>
        <w:ind w:left="1146" w:hanging="360"/>
      </w:pPr>
    </w:lvl>
    <w:lvl w:ilvl="1" w:tplc="04070019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6CC6282C"/>
    <w:multiLevelType w:val="hybridMultilevel"/>
    <w:tmpl w:val="68422D94"/>
    <w:lvl w:ilvl="0" w:tplc="009EE8D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D47097"/>
    <w:multiLevelType w:val="hybridMultilevel"/>
    <w:tmpl w:val="63F29068"/>
    <w:lvl w:ilvl="0" w:tplc="04070017">
      <w:start w:val="1"/>
      <w:numFmt w:val="lowerLetter"/>
      <w:lvlText w:val="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6F7363C"/>
    <w:multiLevelType w:val="hybridMultilevel"/>
    <w:tmpl w:val="FF7AAE42"/>
    <w:lvl w:ilvl="0" w:tplc="2AF68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24"/>
  </w:num>
  <w:num w:numId="4">
    <w:abstractNumId w:val="6"/>
  </w:num>
  <w:num w:numId="5">
    <w:abstractNumId w:val="3"/>
  </w:num>
  <w:num w:numId="6">
    <w:abstractNumId w:val="12"/>
  </w:num>
  <w:num w:numId="7">
    <w:abstractNumId w:val="0"/>
  </w:num>
  <w:num w:numId="8">
    <w:abstractNumId w:val="21"/>
  </w:num>
  <w:num w:numId="9">
    <w:abstractNumId w:val="15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5"/>
  </w:num>
  <w:num w:numId="15">
    <w:abstractNumId w:val="22"/>
  </w:num>
  <w:num w:numId="16">
    <w:abstractNumId w:val="16"/>
  </w:num>
  <w:num w:numId="17">
    <w:abstractNumId w:val="20"/>
  </w:num>
  <w:num w:numId="18">
    <w:abstractNumId w:val="11"/>
  </w:num>
  <w:num w:numId="19">
    <w:abstractNumId w:val="18"/>
  </w:num>
  <w:num w:numId="20">
    <w:abstractNumId w:val="14"/>
  </w:num>
  <w:num w:numId="21">
    <w:abstractNumId w:val="8"/>
  </w:num>
  <w:num w:numId="22">
    <w:abstractNumId w:val="10"/>
  </w:num>
  <w:num w:numId="23">
    <w:abstractNumId w:val="23"/>
  </w:num>
  <w:num w:numId="24">
    <w:abstractNumId w:val="17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11"/>
    <w:rsid w:val="00003F70"/>
    <w:rsid w:val="00013038"/>
    <w:rsid w:val="00033832"/>
    <w:rsid w:val="0003720F"/>
    <w:rsid w:val="000444F1"/>
    <w:rsid w:val="0005170E"/>
    <w:rsid w:val="00071B5E"/>
    <w:rsid w:val="00073202"/>
    <w:rsid w:val="00073905"/>
    <w:rsid w:val="00077A51"/>
    <w:rsid w:val="000A1D02"/>
    <w:rsid w:val="000C6553"/>
    <w:rsid w:val="000D56EA"/>
    <w:rsid w:val="000E0E88"/>
    <w:rsid w:val="000E4D99"/>
    <w:rsid w:val="000F1E79"/>
    <w:rsid w:val="000F3BAE"/>
    <w:rsid w:val="001018AA"/>
    <w:rsid w:val="001031AE"/>
    <w:rsid w:val="00127A02"/>
    <w:rsid w:val="0013260F"/>
    <w:rsid w:val="00150428"/>
    <w:rsid w:val="001555BC"/>
    <w:rsid w:val="00193A08"/>
    <w:rsid w:val="001B1325"/>
    <w:rsid w:val="001C2C5D"/>
    <w:rsid w:val="001E2C02"/>
    <w:rsid w:val="001E58E7"/>
    <w:rsid w:val="001F2B5E"/>
    <w:rsid w:val="001F34EE"/>
    <w:rsid w:val="002225D5"/>
    <w:rsid w:val="00275E8A"/>
    <w:rsid w:val="00287A0A"/>
    <w:rsid w:val="002967DA"/>
    <w:rsid w:val="002D1305"/>
    <w:rsid w:val="002D3E65"/>
    <w:rsid w:val="002D6CF0"/>
    <w:rsid w:val="002D7C49"/>
    <w:rsid w:val="002F5C1B"/>
    <w:rsid w:val="0030418A"/>
    <w:rsid w:val="00324ECD"/>
    <w:rsid w:val="003263F9"/>
    <w:rsid w:val="00326A94"/>
    <w:rsid w:val="003433D3"/>
    <w:rsid w:val="00344649"/>
    <w:rsid w:val="0034788C"/>
    <w:rsid w:val="003739E3"/>
    <w:rsid w:val="003C3C87"/>
    <w:rsid w:val="003F2C8B"/>
    <w:rsid w:val="00424A8C"/>
    <w:rsid w:val="0044221F"/>
    <w:rsid w:val="00451E9B"/>
    <w:rsid w:val="0045224F"/>
    <w:rsid w:val="0045594B"/>
    <w:rsid w:val="00463042"/>
    <w:rsid w:val="004707D9"/>
    <w:rsid w:val="004839DA"/>
    <w:rsid w:val="004C5522"/>
    <w:rsid w:val="004D1183"/>
    <w:rsid w:val="004F1FD3"/>
    <w:rsid w:val="00501A3F"/>
    <w:rsid w:val="00501C9A"/>
    <w:rsid w:val="0056791B"/>
    <w:rsid w:val="0058234C"/>
    <w:rsid w:val="00583E9C"/>
    <w:rsid w:val="00585212"/>
    <w:rsid w:val="005A2BA9"/>
    <w:rsid w:val="005B1772"/>
    <w:rsid w:val="005C13FD"/>
    <w:rsid w:val="005C31E1"/>
    <w:rsid w:val="005C5D51"/>
    <w:rsid w:val="005D1B44"/>
    <w:rsid w:val="005E2351"/>
    <w:rsid w:val="005F520A"/>
    <w:rsid w:val="006839B5"/>
    <w:rsid w:val="0068733D"/>
    <w:rsid w:val="00691DD6"/>
    <w:rsid w:val="006A0772"/>
    <w:rsid w:val="006C0703"/>
    <w:rsid w:val="006C521A"/>
    <w:rsid w:val="006E42D1"/>
    <w:rsid w:val="0070475E"/>
    <w:rsid w:val="00706F1C"/>
    <w:rsid w:val="00707E11"/>
    <w:rsid w:val="007161A2"/>
    <w:rsid w:val="00726245"/>
    <w:rsid w:val="00744372"/>
    <w:rsid w:val="00750E1A"/>
    <w:rsid w:val="00755CB5"/>
    <w:rsid w:val="007912A4"/>
    <w:rsid w:val="007A37F3"/>
    <w:rsid w:val="007A4A36"/>
    <w:rsid w:val="007A73BE"/>
    <w:rsid w:val="007B680A"/>
    <w:rsid w:val="007C2E6D"/>
    <w:rsid w:val="007D5CA5"/>
    <w:rsid w:val="007E1024"/>
    <w:rsid w:val="0081168F"/>
    <w:rsid w:val="0081758F"/>
    <w:rsid w:val="00822375"/>
    <w:rsid w:val="00836180"/>
    <w:rsid w:val="0086024A"/>
    <w:rsid w:val="00867CF1"/>
    <w:rsid w:val="008A720F"/>
    <w:rsid w:val="008E33E4"/>
    <w:rsid w:val="009152BB"/>
    <w:rsid w:val="009218A6"/>
    <w:rsid w:val="00926EAD"/>
    <w:rsid w:val="00926FF6"/>
    <w:rsid w:val="009279BE"/>
    <w:rsid w:val="009307F9"/>
    <w:rsid w:val="0095589A"/>
    <w:rsid w:val="00955A3F"/>
    <w:rsid w:val="00957DBE"/>
    <w:rsid w:val="009A1437"/>
    <w:rsid w:val="009C4ABF"/>
    <w:rsid w:val="009D1D5F"/>
    <w:rsid w:val="009D2435"/>
    <w:rsid w:val="009D7246"/>
    <w:rsid w:val="009E2A56"/>
    <w:rsid w:val="009E4C27"/>
    <w:rsid w:val="009F0BBB"/>
    <w:rsid w:val="009F2054"/>
    <w:rsid w:val="00A23F03"/>
    <w:rsid w:val="00A25692"/>
    <w:rsid w:val="00A45E41"/>
    <w:rsid w:val="00A5104A"/>
    <w:rsid w:val="00A85B74"/>
    <w:rsid w:val="00A97484"/>
    <w:rsid w:val="00AB4CDF"/>
    <w:rsid w:val="00AC42C0"/>
    <w:rsid w:val="00AC4C7C"/>
    <w:rsid w:val="00AC7F97"/>
    <w:rsid w:val="00AD222F"/>
    <w:rsid w:val="00AE00B3"/>
    <w:rsid w:val="00AF4865"/>
    <w:rsid w:val="00AF52C2"/>
    <w:rsid w:val="00B01624"/>
    <w:rsid w:val="00B02661"/>
    <w:rsid w:val="00B11EE5"/>
    <w:rsid w:val="00B175ED"/>
    <w:rsid w:val="00B22571"/>
    <w:rsid w:val="00B379FC"/>
    <w:rsid w:val="00B42897"/>
    <w:rsid w:val="00B619D7"/>
    <w:rsid w:val="00B656A5"/>
    <w:rsid w:val="00B714C2"/>
    <w:rsid w:val="00B74A61"/>
    <w:rsid w:val="00B81FFE"/>
    <w:rsid w:val="00B85B3D"/>
    <w:rsid w:val="00B925CE"/>
    <w:rsid w:val="00BB4386"/>
    <w:rsid w:val="00BC307E"/>
    <w:rsid w:val="00BF1D7B"/>
    <w:rsid w:val="00BF7E98"/>
    <w:rsid w:val="00C00700"/>
    <w:rsid w:val="00C4090C"/>
    <w:rsid w:val="00C438CD"/>
    <w:rsid w:val="00C43C0D"/>
    <w:rsid w:val="00C81955"/>
    <w:rsid w:val="00C83D10"/>
    <w:rsid w:val="00CA0BD9"/>
    <w:rsid w:val="00CA6662"/>
    <w:rsid w:val="00CD5020"/>
    <w:rsid w:val="00CF0306"/>
    <w:rsid w:val="00D122F9"/>
    <w:rsid w:val="00D1520D"/>
    <w:rsid w:val="00D23AC9"/>
    <w:rsid w:val="00D33825"/>
    <w:rsid w:val="00D66336"/>
    <w:rsid w:val="00D872F5"/>
    <w:rsid w:val="00D957D0"/>
    <w:rsid w:val="00D96F28"/>
    <w:rsid w:val="00DA015E"/>
    <w:rsid w:val="00DA487F"/>
    <w:rsid w:val="00DB5AEF"/>
    <w:rsid w:val="00DC276C"/>
    <w:rsid w:val="00DC5BB7"/>
    <w:rsid w:val="00DD2F87"/>
    <w:rsid w:val="00DF1EC5"/>
    <w:rsid w:val="00DF4F0D"/>
    <w:rsid w:val="00DF5FE7"/>
    <w:rsid w:val="00E03F82"/>
    <w:rsid w:val="00E238BC"/>
    <w:rsid w:val="00E3540C"/>
    <w:rsid w:val="00E5603B"/>
    <w:rsid w:val="00E57D8A"/>
    <w:rsid w:val="00E6684B"/>
    <w:rsid w:val="00E6715F"/>
    <w:rsid w:val="00E82E12"/>
    <w:rsid w:val="00E92231"/>
    <w:rsid w:val="00E975AA"/>
    <w:rsid w:val="00EA62C8"/>
    <w:rsid w:val="00EA63E6"/>
    <w:rsid w:val="00EB261F"/>
    <w:rsid w:val="00EC3E3A"/>
    <w:rsid w:val="00F2205D"/>
    <w:rsid w:val="00F36CDA"/>
    <w:rsid w:val="00F41173"/>
    <w:rsid w:val="00F62936"/>
    <w:rsid w:val="00F86C92"/>
    <w:rsid w:val="00F90871"/>
    <w:rsid w:val="00FB158E"/>
    <w:rsid w:val="00FC137A"/>
    <w:rsid w:val="00FC5CDA"/>
    <w:rsid w:val="00FD0F58"/>
    <w:rsid w:val="00FE07AA"/>
    <w:rsid w:val="00FE38C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629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0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70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7E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E1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D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D6CF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D6CF0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6245"/>
  </w:style>
  <w:style w:type="paragraph" w:styleId="Fuzeile">
    <w:name w:val="footer"/>
    <w:basedOn w:val="Standard"/>
    <w:link w:val="FuzeileZchn"/>
    <w:uiPriority w:val="99"/>
    <w:unhideWhenUsed/>
    <w:rsid w:val="007262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6245"/>
  </w:style>
  <w:style w:type="character" w:styleId="Platzhaltertext">
    <w:name w:val="Placeholder Text"/>
    <w:basedOn w:val="Absatz-Standardschriftart"/>
    <w:uiPriority w:val="99"/>
    <w:semiHidden/>
    <w:rsid w:val="00003F70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F6293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eriodensystem.info/elemente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hyperlink" Target="http://www.periodensystem.info/elemente" TargetMode="Externa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L:\Fachberater\ZPG\ZPG_V\Arbeitsb&#246;gen%20f&#252;r%20moodle%20neu\2%20Atommodelle%20in%20Physik%20und%20Chemie\2.2%20Abl&#246;seenergie\Ionisierung_und_Atomradien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L:\Fachberater\ZPG\ZPG_V\Arbeitsb&#246;gen%20f&#252;r%20moodle%20neu\2%20Atommodelle%20in%20Physik%20und%20Chemie\2.2%20Abl&#246;seenergie\Ionisierung_und_Atomradi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12"/>
      <c:hPercent val="100"/>
      <c:rotY val="15"/>
      <c:depthPercent val="160"/>
      <c:rAngAx val="0"/>
      <c:perspective val="20"/>
    </c:view3D>
    <c:floor>
      <c:thickness val="0"/>
      <c:spPr>
        <a:solidFill>
          <a:schemeClr val="bg1">
            <a:lumMod val="95000"/>
            <a:alpha val="43000"/>
          </a:schemeClr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132684803288478"/>
          <c:y val="1.7088115504780427E-2"/>
          <c:w val="0.73169586440583811"/>
          <c:h val="0.84695171510266198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'Tabelle2 (2)'!$A$26</c:f>
              <c:strCache>
                <c:ptCount val="1"/>
                <c:pt idx="0">
                  <c:v>Al (Z=13)</c:v>
                </c:pt>
              </c:strCache>
            </c:strRef>
          </c:tx>
          <c:spPr>
            <a:pattFill prst="pct70">
              <a:fgClr>
                <a:schemeClr val="tx1">
                  <a:lumMod val="65000"/>
                  <a:lumOff val="35000"/>
                </a:schemeClr>
              </a:fgClr>
              <a:bgClr>
                <a:schemeClr val="bg1"/>
              </a:bgClr>
            </a:pattFill>
          </c:spPr>
          <c:invertIfNegative val="0"/>
          <c:val>
            <c:numRef>
              <c:f>'Tabelle2 (2)'!$C$27:$Q$27</c:f>
              <c:numCache>
                <c:formatCode>General</c:formatCode>
                <c:ptCount val="15"/>
                <c:pt idx="2" formatCode="0.00E+00">
                  <c:v>9.599999999999999E-19</c:v>
                </c:pt>
                <c:pt idx="3" formatCode="0.00E+00">
                  <c:v>3.0080000000000001E-18</c:v>
                </c:pt>
                <c:pt idx="4" formatCode="0.00E+00">
                  <c:v>4.5439999999999999E-18</c:v>
                </c:pt>
                <c:pt idx="5" formatCode="0.00E+00">
                  <c:v>1.92E-17</c:v>
                </c:pt>
                <c:pt idx="6" formatCode="0.00E+00">
                  <c:v>2.4608E-17</c:v>
                </c:pt>
                <c:pt idx="7" formatCode="0.00E+00">
                  <c:v>3.0464000000000001E-17</c:v>
                </c:pt>
                <c:pt idx="8" formatCode="0.00E+00">
                  <c:v>3.8624E-17</c:v>
                </c:pt>
                <c:pt idx="9" formatCode="0.00E+00">
                  <c:v>4.5519999999999998E-17</c:v>
                </c:pt>
                <c:pt idx="10" formatCode="0.00E+00">
                  <c:v>5.3055999999999999E-17</c:v>
                </c:pt>
                <c:pt idx="11" formatCode="0.00E+00">
                  <c:v>6.3872E-17</c:v>
                </c:pt>
                <c:pt idx="12" formatCode="0.00E+00">
                  <c:v>7.0127999999999995E-17</c:v>
                </c:pt>
                <c:pt idx="13" formatCode="0.00E+00">
                  <c:v>3.3091199999999997E-16</c:v>
                </c:pt>
                <c:pt idx="14" formatCode="0.00E+00">
                  <c:v>3.65424E-16</c:v>
                </c:pt>
              </c:numCache>
            </c:numRef>
          </c:val>
        </c:ser>
        <c:ser>
          <c:idx val="3"/>
          <c:order val="1"/>
          <c:tx>
            <c:strRef>
              <c:f>'Tabelle2 (2)'!$A$24</c:f>
              <c:strCache>
                <c:ptCount val="1"/>
                <c:pt idx="0">
                  <c:v>Mg (Z=12)</c:v>
                </c:pt>
              </c:strCache>
            </c:strRef>
          </c:tx>
          <c:spPr>
            <a:pattFill prst="pct5">
              <a:fgClr>
                <a:schemeClr val="tx1"/>
              </a:fgClr>
              <a:bgClr>
                <a:schemeClr val="bg1"/>
              </a:bgClr>
            </a:pattFill>
          </c:spPr>
          <c:invertIfNegative val="0"/>
          <c:cat>
            <c:numRef>
              <c:f>'Tabelle2 (2)'!$C$11:$Q$11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'Tabelle2 (2)'!$C$25:$Q$25</c:f>
              <c:numCache>
                <c:formatCode>General</c:formatCode>
                <c:ptCount val="15"/>
                <c:pt idx="3" formatCode="0.00E+00">
                  <c:v>1.2159999999999999E-18</c:v>
                </c:pt>
                <c:pt idx="4" formatCode="0.00E+00">
                  <c:v>2.3999999999999999E-18</c:v>
                </c:pt>
                <c:pt idx="5" formatCode="0.00E+00">
                  <c:v>1.2815999999999999E-17</c:v>
                </c:pt>
                <c:pt idx="6" formatCode="0.00E+00">
                  <c:v>1.7487999999999998E-17</c:v>
                </c:pt>
                <c:pt idx="7" formatCode="0.00E+00">
                  <c:v>2.2591999999999998E-17</c:v>
                </c:pt>
                <c:pt idx="8" formatCode="0.00E+00">
                  <c:v>2.9839999999999995E-17</c:v>
                </c:pt>
                <c:pt idx="9" formatCode="0.00E+00">
                  <c:v>3.5983999999999996E-17</c:v>
                </c:pt>
                <c:pt idx="10" formatCode="0.00E+00">
                  <c:v>4.2559999999999995E-17</c:v>
                </c:pt>
                <c:pt idx="11" formatCode="0.00E+00">
                  <c:v>5.2511999999999993E-17</c:v>
                </c:pt>
                <c:pt idx="12" formatCode="0.00E+00">
                  <c:v>5.8719999999999996E-17</c:v>
                </c:pt>
                <c:pt idx="13" formatCode="0.00E+00">
                  <c:v>2.7943999999999996E-16</c:v>
                </c:pt>
                <c:pt idx="14" formatCode="0.00E+00">
                  <c:v>3.1134400000000002E-16</c:v>
                </c:pt>
              </c:numCache>
            </c:numRef>
          </c:val>
        </c:ser>
        <c:ser>
          <c:idx val="4"/>
          <c:order val="2"/>
          <c:tx>
            <c:strRef>
              <c:f>'Tabelle2 (2)'!$A$22</c:f>
              <c:strCache>
                <c:ptCount val="1"/>
                <c:pt idx="0">
                  <c:v>Na (Z=11)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'Tabelle2 (2)'!$C$11:$Q$11</c:f>
              <c:numCache>
                <c:formatCode>General</c:formatCode>
                <c:ptCount val="1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</c:numCache>
            </c:numRef>
          </c:cat>
          <c:val>
            <c:numRef>
              <c:f>'Tabelle2 (2)'!$C$23:$Q$23</c:f>
              <c:numCache>
                <c:formatCode>General</c:formatCode>
                <c:ptCount val="15"/>
                <c:pt idx="4" formatCode="0.00E+00">
                  <c:v>8.1599999999999993E-19</c:v>
                </c:pt>
                <c:pt idx="5" formatCode="0.00E+00">
                  <c:v>7.5679999999999986E-18</c:v>
                </c:pt>
                <c:pt idx="6" formatCode="0.00E+00">
                  <c:v>1.1455999999999998E-17</c:v>
                </c:pt>
                <c:pt idx="7" formatCode="0.00E+00">
                  <c:v>1.5824000000000001E-17</c:v>
                </c:pt>
                <c:pt idx="8" formatCode="0.00E+00">
                  <c:v>2.2143999999999999E-17</c:v>
                </c:pt>
                <c:pt idx="9" formatCode="0.00E+00">
                  <c:v>2.7535999999999999E-17</c:v>
                </c:pt>
                <c:pt idx="10" formatCode="0.00E+00">
                  <c:v>3.3343999999999998E-17</c:v>
                </c:pt>
                <c:pt idx="11" formatCode="0.00E+00">
                  <c:v>4.2256000000000001E-17</c:v>
                </c:pt>
                <c:pt idx="12" formatCode="0.00E+00">
                  <c:v>4.7983999999999994E-17</c:v>
                </c:pt>
                <c:pt idx="13" formatCode="0.00E+00">
                  <c:v>2.3359999999999999E-16</c:v>
                </c:pt>
                <c:pt idx="14" formatCode="0.00E+00">
                  <c:v>2.6153599999999999E-16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2"/>
        <c:gapDepth val="31"/>
        <c:shape val="box"/>
        <c:axId val="226717056"/>
        <c:axId val="226735616"/>
        <c:axId val="226750912"/>
      </c:bar3DChart>
      <c:catAx>
        <c:axId val="22671705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Nummer der Elektronen</a:t>
                </a:r>
              </a:p>
            </c:rich>
          </c:tx>
          <c:layout>
            <c:manualLayout>
              <c:xMode val="edge"/>
              <c:yMode val="edge"/>
              <c:x val="0.36275810864025343"/>
              <c:y val="0.85250554443026461"/>
            </c:manualLayout>
          </c:layout>
          <c:overlay val="0"/>
        </c:title>
        <c:numFmt formatCode="#,##0;\-#,##0" sourceLinked="0"/>
        <c:majorTickMark val="none"/>
        <c:minorTickMark val="none"/>
        <c:tickLblPos val="nextTo"/>
        <c:crossAx val="226735616"/>
        <c:crosses val="autoZero"/>
        <c:auto val="1"/>
        <c:lblAlgn val="ctr"/>
        <c:lblOffset val="100"/>
        <c:tickLblSkip val="1"/>
        <c:noMultiLvlLbl val="0"/>
      </c:catAx>
      <c:valAx>
        <c:axId val="226735616"/>
        <c:scaling>
          <c:orientation val="minMax"/>
          <c:max val="3.7000000000000034E-16"/>
          <c:min val="0"/>
        </c:scaling>
        <c:delete val="0"/>
        <c:axPos val="l"/>
        <c:majorGridlines>
          <c:spPr>
            <a:ln w="12700">
              <a:solidFill>
                <a:schemeClr val="bg1">
                  <a:lumMod val="50000"/>
                </a:schemeClr>
              </a:solidFill>
            </a:ln>
          </c:spPr>
        </c:majorGridlines>
        <c:minorGridlines>
          <c:spPr>
            <a:ln>
              <a:solidFill>
                <a:schemeClr val="bg1">
                  <a:lumMod val="85000"/>
                </a:schemeClr>
              </a:solidFill>
            </a:ln>
          </c:spPr>
        </c:minorGridlines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Ionisierungsenergie in J</a:t>
                </a:r>
              </a:p>
            </c:rich>
          </c:tx>
          <c:overlay val="0"/>
        </c:title>
        <c:numFmt formatCode="General" sourceLinked="1"/>
        <c:majorTickMark val="out"/>
        <c:minorTickMark val="out"/>
        <c:tickLblPos val="nextTo"/>
        <c:crossAx val="226717056"/>
        <c:crosses val="autoZero"/>
        <c:crossBetween val="between"/>
        <c:majorUnit val="5.0000000000000048E-17"/>
      </c:valAx>
      <c:serAx>
        <c:axId val="226750912"/>
        <c:scaling>
          <c:orientation val="maxMin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1100"/>
            </a:pPr>
            <a:endParaRPr lang="de-DE"/>
          </a:p>
        </c:txPr>
        <c:crossAx val="226735616"/>
        <c:crosses val="autoZero"/>
        <c:tickLblSkip val="1"/>
      </c:ser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Ionisierungsenergien aller Elektronen vom Calciumatom</a:t>
            </a:r>
          </a:p>
        </c:rich>
      </c:tx>
      <c:layout>
        <c:manualLayout>
          <c:xMode val="edge"/>
          <c:yMode val="edge"/>
          <c:x val="0.21806884972492988"/>
          <c:y val="0"/>
        </c:manualLayout>
      </c:layout>
      <c:overlay val="0"/>
    </c:title>
    <c:autoTitleDeleted val="0"/>
    <c:view3D>
      <c:rotX val="7"/>
      <c:hPercent val="100"/>
      <c:rotY val="12"/>
      <c:depthPercent val="160"/>
      <c:rAngAx val="0"/>
      <c:perspective val="0"/>
    </c:view3D>
    <c:floor>
      <c:thickness val="0"/>
    </c:floor>
    <c:sideWall>
      <c:thickness val="0"/>
    </c:sideWall>
    <c:backWall>
      <c:thickness val="0"/>
      <c:spPr>
        <a:solidFill>
          <a:schemeClr val="bg1">
            <a:lumMod val="95000"/>
          </a:schemeClr>
        </a:solidFill>
      </c:spPr>
    </c:backWall>
    <c:plotArea>
      <c:layout>
        <c:manualLayout>
          <c:layoutTarget val="inner"/>
          <c:xMode val="edge"/>
          <c:yMode val="edge"/>
          <c:x val="0.10535355725807689"/>
          <c:y val="0.10199163806447271"/>
          <c:w val="0.90687285638374959"/>
          <c:h val="0.75199500302846756"/>
        </c:manualLayout>
      </c:layout>
      <c:bar3DChart>
        <c:barDir val="col"/>
        <c:grouping val="standard"/>
        <c:varyColors val="0"/>
        <c:ser>
          <c:idx val="0"/>
          <c:order val="0"/>
          <c:invertIfNegative val="0"/>
          <c:cat>
            <c:strRef>
              <c:f>Tabelle2!$D$58:$D$77</c:f>
              <c:strCache>
                <c:ptCount val="20"/>
                <c:pt idx="0">
                  <c:v>1.</c:v>
                </c:pt>
                <c:pt idx="1">
                  <c:v>2.</c:v>
                </c:pt>
                <c:pt idx="2">
                  <c:v>3.</c:v>
                </c:pt>
                <c:pt idx="3">
                  <c:v>4.</c:v>
                </c:pt>
                <c:pt idx="4">
                  <c:v>5.</c:v>
                </c:pt>
                <c:pt idx="5">
                  <c:v>6.</c:v>
                </c:pt>
                <c:pt idx="6">
                  <c:v>7.</c:v>
                </c:pt>
                <c:pt idx="7">
                  <c:v>8.</c:v>
                </c:pt>
                <c:pt idx="8">
                  <c:v>9.</c:v>
                </c:pt>
                <c:pt idx="9">
                  <c:v>10.</c:v>
                </c:pt>
                <c:pt idx="10">
                  <c:v>11.</c:v>
                </c:pt>
                <c:pt idx="11">
                  <c:v>12.</c:v>
                </c:pt>
                <c:pt idx="12">
                  <c:v>13.</c:v>
                </c:pt>
                <c:pt idx="13">
                  <c:v>14.</c:v>
                </c:pt>
                <c:pt idx="14">
                  <c:v>15.</c:v>
                </c:pt>
                <c:pt idx="15">
                  <c:v>16.</c:v>
                </c:pt>
                <c:pt idx="16">
                  <c:v>17.</c:v>
                </c:pt>
                <c:pt idx="17">
                  <c:v>18.</c:v>
                </c:pt>
                <c:pt idx="18">
                  <c:v>19.</c:v>
                </c:pt>
                <c:pt idx="19">
                  <c:v>20.</c:v>
                </c:pt>
              </c:strCache>
            </c:strRef>
          </c:cat>
          <c:val>
            <c:numRef>
              <c:f>Tabelle2!$F$58:$F$77</c:f>
              <c:numCache>
                <c:formatCode>General</c:formatCode>
                <c:ptCount val="20"/>
                <c:pt idx="0">
                  <c:v>9.7807999999999996E-19</c:v>
                </c:pt>
                <c:pt idx="1">
                  <c:v>1.89936E-18</c:v>
                </c:pt>
                <c:pt idx="2">
                  <c:v>8.1460799999999991E-18</c:v>
                </c:pt>
                <c:pt idx="3">
                  <c:v>1.076384E-17</c:v>
                </c:pt>
                <c:pt idx="4">
                  <c:v>1.3519999999999999E-17</c:v>
                </c:pt>
                <c:pt idx="5">
                  <c:v>1.7405279999999998E-17</c:v>
                </c:pt>
                <c:pt idx="6">
                  <c:v>2.0347199999999999E-17</c:v>
                </c:pt>
                <c:pt idx="7">
                  <c:v>2.3557600000000002E-17</c:v>
                </c:pt>
                <c:pt idx="8">
                  <c:v>3.0165759999999998E-17</c:v>
                </c:pt>
                <c:pt idx="9">
                  <c:v>3.3804159999999999E-17</c:v>
                </c:pt>
                <c:pt idx="10">
                  <c:v>9.4704639999999993E-17</c:v>
                </c:pt>
                <c:pt idx="11">
                  <c:v>1.0515183999999998E-16</c:v>
                </c:pt>
                <c:pt idx="12">
                  <c:v>1.1626224000000001E-16</c:v>
                </c:pt>
                <c:pt idx="13">
                  <c:v>1.3082191999999997E-16</c:v>
                </c:pt>
                <c:pt idx="14">
                  <c:v>1.4312639999999998E-16</c:v>
                </c:pt>
                <c:pt idx="15">
                  <c:v>1.5587871999999999E-16</c:v>
                </c:pt>
                <c:pt idx="16">
                  <c:v>1.7395391999999998E-16</c:v>
                </c:pt>
                <c:pt idx="17">
                  <c:v>1.8524848000000001E-16</c:v>
                </c:pt>
                <c:pt idx="18">
                  <c:v>8.2060159999999997E-16</c:v>
                </c:pt>
                <c:pt idx="19">
                  <c:v>8.7517903999999993E-16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8"/>
        <c:gapDepth val="99"/>
        <c:shape val="box"/>
        <c:axId val="227043968"/>
        <c:axId val="227062528"/>
        <c:axId val="226752704"/>
      </c:bar3DChart>
      <c:catAx>
        <c:axId val="2270439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Nummer der Elektronen</a:t>
                </a:r>
              </a:p>
            </c:rich>
          </c:tx>
          <c:layout>
            <c:manualLayout>
              <c:xMode val="edge"/>
              <c:yMode val="edge"/>
              <c:x val="0.37827398562354425"/>
              <c:y val="0.92295338082739653"/>
            </c:manualLayout>
          </c:layout>
          <c:overlay val="0"/>
        </c:title>
        <c:majorTickMark val="none"/>
        <c:minorTickMark val="none"/>
        <c:tickLblPos val="nextTo"/>
        <c:crossAx val="227062528"/>
        <c:crosses val="autoZero"/>
        <c:auto val="1"/>
        <c:lblAlgn val="ctr"/>
        <c:lblOffset val="100"/>
        <c:noMultiLvlLbl val="0"/>
      </c:catAx>
      <c:valAx>
        <c:axId val="227062528"/>
        <c:scaling>
          <c:orientation val="minMax"/>
          <c:max val="4.0000000000000132E-16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Ionisierungsenergien in J</a:t>
                </a:r>
              </a:p>
            </c:rich>
          </c:tx>
          <c:layout>
            <c:manualLayout>
              <c:xMode val="edge"/>
              <c:yMode val="edge"/>
              <c:x val="0.10637305306161883"/>
              <c:y val="0.19867517832211956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27043968"/>
        <c:crosses val="autoZero"/>
        <c:crossBetween val="between"/>
      </c:valAx>
      <c:serAx>
        <c:axId val="226752704"/>
        <c:scaling>
          <c:orientation val="minMax"/>
        </c:scaling>
        <c:delete val="1"/>
        <c:axPos val="b"/>
        <c:majorTickMark val="none"/>
        <c:minorTickMark val="none"/>
        <c:tickLblPos val="nextTo"/>
        <c:crossAx val="227062528"/>
        <c:crosses val="autoZero"/>
      </c:serAx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0.74077</cdr:x>
      <cdr:y>0.11149</cdr:y>
    </cdr:from>
    <cdr:to>
      <cdr:x>0.85737</cdr:x>
      <cdr:y>0.17838</cdr:y>
    </cdr:to>
    <cdr:grpSp>
      <cdr:nvGrpSpPr>
        <cdr:cNvPr id="4" name="Gruppieren 3"/>
        <cdr:cNvGrpSpPr/>
      </cdr:nvGrpSpPr>
      <cdr:grpSpPr>
        <a:xfrm xmlns:a="http://schemas.openxmlformats.org/drawingml/2006/main">
          <a:off x="4293704" y="278295"/>
          <a:ext cx="675861" cy="166978"/>
          <a:chOff x="4293704" y="278295"/>
          <a:chExt cx="675861" cy="166978"/>
        </a:xfrm>
      </cdr:grpSpPr>
      <cdr:cxnSp macro="">
        <cdr:nvCxnSpPr>
          <cdr:cNvPr id="2" name="Gerade Verbindung 1"/>
          <cdr:cNvCxnSpPr/>
        </cdr:nvCxnSpPr>
        <cdr:spPr>
          <a:xfrm xmlns:a="http://schemas.openxmlformats.org/drawingml/2006/main" flipV="1">
            <a:off x="4317558" y="310100"/>
            <a:ext cx="652007" cy="135173"/>
          </a:xfrm>
          <a:prstGeom xmlns:a="http://schemas.openxmlformats.org/drawingml/2006/main" prst="line">
            <a:avLst/>
          </a:prstGeom>
          <a:ln xmlns:a="http://schemas.openxmlformats.org/drawingml/2006/main" w="15875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  <cdr:cxnSp macro="">
        <cdr:nvCxnSpPr>
          <cdr:cNvPr id="3" name="Gerade Verbindung 2"/>
          <cdr:cNvCxnSpPr/>
        </cdr:nvCxnSpPr>
        <cdr:spPr>
          <a:xfrm xmlns:a="http://schemas.openxmlformats.org/drawingml/2006/main" flipV="1">
            <a:off x="4293704" y="278295"/>
            <a:ext cx="652007" cy="135173"/>
          </a:xfrm>
          <a:prstGeom xmlns:a="http://schemas.openxmlformats.org/drawingml/2006/main" prst="line">
            <a:avLst/>
          </a:prstGeom>
          <a:ln xmlns:a="http://schemas.openxmlformats.org/drawingml/2006/main" w="15875">
            <a:solidFill>
              <a:schemeClr val="tx1"/>
            </a:solidFill>
          </a:ln>
        </cdr:spPr>
        <cdr:style>
          <a:lnRef xmlns:a="http://schemas.openxmlformats.org/drawingml/2006/main" idx="1">
            <a:schemeClr val="accent1"/>
          </a:lnRef>
          <a:fillRef xmlns:a="http://schemas.openxmlformats.org/drawingml/2006/main" idx="0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tx1"/>
          </a:fontRef>
        </cdr:style>
      </cdr:cxnSp>
    </cdr:grpSp>
  </cdr:relSizeAnchor>
</c:userShape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Hector-Seminar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winadmin</dc:creator>
  <cp:lastModifiedBy>Piffer</cp:lastModifiedBy>
  <cp:revision>3</cp:revision>
  <cp:lastPrinted>2017-05-27T15:58:00Z</cp:lastPrinted>
  <dcterms:created xsi:type="dcterms:W3CDTF">2017-05-27T15:58:00Z</dcterms:created>
  <dcterms:modified xsi:type="dcterms:W3CDTF">2017-07-05T07:35:00Z</dcterms:modified>
</cp:coreProperties>
</file>