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92" w:rsidRDefault="00074313" w:rsidP="00750E1A">
      <w:pPr>
        <w:pStyle w:val="berschrift2"/>
        <w:spacing w:before="0" w:line="240" w:lineRule="auto"/>
      </w:pPr>
      <w:r>
        <w:t>Arbeitsblatt</w:t>
      </w:r>
      <w:r w:rsidR="007B3DB3">
        <w:t xml:space="preserve"> – natürlicher Treibhauseffekt</w:t>
      </w:r>
    </w:p>
    <w:p w:rsidR="00707E11" w:rsidRDefault="00707E11" w:rsidP="00750E1A">
      <w:pPr>
        <w:spacing w:after="0" w:line="240" w:lineRule="auto"/>
      </w:pPr>
    </w:p>
    <w:p w:rsidR="00707E11" w:rsidRPr="00E933DF" w:rsidRDefault="002D6CF0" w:rsidP="00750E1A">
      <w:pPr>
        <w:spacing w:after="0" w:line="240" w:lineRule="auto"/>
        <w:rPr>
          <w:b/>
        </w:rPr>
      </w:pPr>
      <w:r w:rsidRPr="00E933DF">
        <w:rPr>
          <w:b/>
        </w:rPr>
        <w:t>Kompetenzen:</w:t>
      </w:r>
    </w:p>
    <w:tbl>
      <w:tblPr>
        <w:tblStyle w:val="Tabellenraster"/>
        <w:tblW w:w="0" w:type="auto"/>
        <w:tblLook w:val="04A0" w:firstRow="1" w:lastRow="0" w:firstColumn="1" w:lastColumn="0" w:noHBand="0" w:noVBand="1"/>
      </w:tblPr>
      <w:tblGrid>
        <w:gridCol w:w="3070"/>
        <w:gridCol w:w="3071"/>
        <w:gridCol w:w="3071"/>
      </w:tblGrid>
      <w:tr w:rsidR="002D6CF0" w:rsidTr="002D6CF0">
        <w:tc>
          <w:tcPr>
            <w:tcW w:w="3070" w:type="dxa"/>
          </w:tcPr>
          <w:p w:rsidR="002D6CF0" w:rsidRDefault="002D6CF0" w:rsidP="00750E1A">
            <w:r>
              <w:t>Inhalt</w:t>
            </w:r>
          </w:p>
        </w:tc>
        <w:tc>
          <w:tcPr>
            <w:tcW w:w="3071" w:type="dxa"/>
          </w:tcPr>
          <w:p w:rsidR="002D6CF0" w:rsidRDefault="002D6CF0" w:rsidP="00750E1A">
            <w:proofErr w:type="spellStart"/>
            <w:r>
              <w:t>pbK</w:t>
            </w:r>
            <w:proofErr w:type="spellEnd"/>
          </w:p>
        </w:tc>
        <w:tc>
          <w:tcPr>
            <w:tcW w:w="3071" w:type="dxa"/>
          </w:tcPr>
          <w:p w:rsidR="002D6CF0" w:rsidRDefault="002D6CF0" w:rsidP="00750E1A">
            <w:proofErr w:type="spellStart"/>
            <w:r>
              <w:t>ibK</w:t>
            </w:r>
            <w:proofErr w:type="spellEnd"/>
          </w:p>
        </w:tc>
      </w:tr>
      <w:tr w:rsidR="002D6CF0" w:rsidTr="002D6CF0">
        <w:tc>
          <w:tcPr>
            <w:tcW w:w="3070" w:type="dxa"/>
          </w:tcPr>
          <w:p w:rsidR="002D6CF0" w:rsidRDefault="00450DCA" w:rsidP="00450DCA">
            <w:r>
              <w:t xml:space="preserve">Einerseits den </w:t>
            </w:r>
            <w:r w:rsidR="00EC3E3A">
              <w:t xml:space="preserve">Einfluss der </w:t>
            </w:r>
            <w:r w:rsidR="00073202">
              <w:t xml:space="preserve">Reflexion und Absorption </w:t>
            </w:r>
            <w:r>
              <w:t>der Sonneneinstrahlung auf die Erdtemperatur untersuchen. Andererseits soll auch der Einfluss der von</w:t>
            </w:r>
            <w:r w:rsidR="00073202">
              <w:t xml:space="preserve"> </w:t>
            </w:r>
            <w:r>
              <w:t xml:space="preserve">der Erde ausgehenden Wärmestrahlung auf die </w:t>
            </w:r>
            <w:r w:rsidR="00EC3E3A">
              <w:t xml:space="preserve">Erdtemperatur </w:t>
            </w:r>
            <w:r>
              <w:t xml:space="preserve">untersucht werden. </w:t>
            </w:r>
          </w:p>
        </w:tc>
        <w:tc>
          <w:tcPr>
            <w:tcW w:w="3071" w:type="dxa"/>
          </w:tcPr>
          <w:p w:rsidR="00E5603B" w:rsidRDefault="002D6CF0" w:rsidP="00750E1A">
            <w:pPr>
              <w:rPr>
                <w:sz w:val="18"/>
                <w:szCs w:val="18"/>
              </w:rPr>
            </w:pPr>
            <w:r w:rsidRPr="00E5603B">
              <w:rPr>
                <w:sz w:val="18"/>
                <w:szCs w:val="18"/>
              </w:rPr>
              <w:t>2.1.</w:t>
            </w:r>
            <w:r w:rsidR="00EC3E3A">
              <w:rPr>
                <w:sz w:val="18"/>
                <w:szCs w:val="18"/>
              </w:rPr>
              <w:t>9</w:t>
            </w:r>
            <w:r w:rsidRPr="00E5603B">
              <w:rPr>
                <w:sz w:val="18"/>
                <w:szCs w:val="18"/>
              </w:rPr>
              <w:t xml:space="preserve"> </w:t>
            </w:r>
            <w:r w:rsidR="00EC3E3A">
              <w:rPr>
                <w:sz w:val="18"/>
                <w:szCs w:val="18"/>
              </w:rPr>
              <w:t>Unterschied Modell/Realität</w:t>
            </w:r>
          </w:p>
          <w:p w:rsidR="00E5603B" w:rsidRDefault="00E5603B" w:rsidP="00750E1A">
            <w:pPr>
              <w:rPr>
                <w:sz w:val="18"/>
                <w:szCs w:val="18"/>
              </w:rPr>
            </w:pPr>
            <w:r>
              <w:rPr>
                <w:sz w:val="18"/>
                <w:szCs w:val="18"/>
              </w:rPr>
              <w:t>2.</w:t>
            </w:r>
            <w:r w:rsidR="00EC3E3A">
              <w:rPr>
                <w:sz w:val="18"/>
                <w:szCs w:val="18"/>
              </w:rPr>
              <w:t>2</w:t>
            </w:r>
            <w:r>
              <w:rPr>
                <w:sz w:val="18"/>
                <w:szCs w:val="18"/>
              </w:rPr>
              <w:t>.</w:t>
            </w:r>
            <w:r w:rsidR="00EC3E3A">
              <w:rPr>
                <w:sz w:val="18"/>
                <w:szCs w:val="18"/>
              </w:rPr>
              <w:t>2</w:t>
            </w:r>
            <w:r>
              <w:rPr>
                <w:sz w:val="18"/>
                <w:szCs w:val="18"/>
              </w:rPr>
              <w:t xml:space="preserve"> </w:t>
            </w:r>
            <w:r w:rsidR="00EC3E3A">
              <w:rPr>
                <w:sz w:val="18"/>
                <w:szCs w:val="18"/>
              </w:rPr>
              <w:t>je-desto-Aussagen</w:t>
            </w:r>
          </w:p>
          <w:p w:rsidR="003C3C87" w:rsidRPr="00E5603B" w:rsidRDefault="003C3C87" w:rsidP="00750E1A">
            <w:pPr>
              <w:rPr>
                <w:sz w:val="18"/>
                <w:szCs w:val="18"/>
              </w:rPr>
            </w:pPr>
            <w:r>
              <w:rPr>
                <w:sz w:val="18"/>
                <w:szCs w:val="18"/>
              </w:rPr>
              <w:t>2.2.5 Ergebnisse dokumentieren</w:t>
            </w:r>
          </w:p>
          <w:p w:rsidR="002D6CF0" w:rsidRPr="00E5603B" w:rsidRDefault="002D6CF0" w:rsidP="00750E1A">
            <w:pPr>
              <w:rPr>
                <w:sz w:val="18"/>
                <w:szCs w:val="18"/>
              </w:rPr>
            </w:pPr>
            <w:r w:rsidRPr="00E5603B">
              <w:rPr>
                <w:sz w:val="18"/>
                <w:szCs w:val="18"/>
              </w:rPr>
              <w:t>2.</w:t>
            </w:r>
            <w:r w:rsidR="00EC3E3A">
              <w:rPr>
                <w:sz w:val="18"/>
                <w:szCs w:val="18"/>
              </w:rPr>
              <w:t>2</w:t>
            </w:r>
            <w:r w:rsidRPr="00E5603B">
              <w:rPr>
                <w:sz w:val="18"/>
                <w:szCs w:val="18"/>
              </w:rPr>
              <w:t>.</w:t>
            </w:r>
            <w:r w:rsidR="00EC3E3A">
              <w:rPr>
                <w:sz w:val="18"/>
                <w:szCs w:val="18"/>
              </w:rPr>
              <w:t>6</w:t>
            </w:r>
            <w:r w:rsidRPr="00E5603B">
              <w:rPr>
                <w:sz w:val="18"/>
                <w:szCs w:val="18"/>
              </w:rPr>
              <w:t xml:space="preserve"> </w:t>
            </w:r>
            <w:r w:rsidR="00EC3E3A">
              <w:rPr>
                <w:sz w:val="18"/>
                <w:szCs w:val="18"/>
              </w:rPr>
              <w:t>Messdaten darstellen</w:t>
            </w:r>
          </w:p>
          <w:p w:rsidR="00C43C0D" w:rsidRPr="00E5603B" w:rsidRDefault="002D6CF0" w:rsidP="00750E1A">
            <w:pPr>
              <w:rPr>
                <w:sz w:val="18"/>
                <w:szCs w:val="18"/>
              </w:rPr>
            </w:pPr>
            <w:r w:rsidRPr="00E5603B">
              <w:rPr>
                <w:sz w:val="18"/>
                <w:szCs w:val="18"/>
              </w:rPr>
              <w:t>2.</w:t>
            </w:r>
            <w:r w:rsidR="00EC3E3A">
              <w:rPr>
                <w:sz w:val="18"/>
                <w:szCs w:val="18"/>
              </w:rPr>
              <w:t>3.4</w:t>
            </w:r>
            <w:r w:rsidRPr="00E5603B">
              <w:rPr>
                <w:sz w:val="18"/>
                <w:szCs w:val="18"/>
              </w:rPr>
              <w:t xml:space="preserve"> </w:t>
            </w:r>
            <w:r w:rsidR="00EC3E3A">
              <w:rPr>
                <w:sz w:val="18"/>
                <w:szCs w:val="18"/>
              </w:rPr>
              <w:t>Grenzen von Modellen</w:t>
            </w:r>
          </w:p>
        </w:tc>
        <w:tc>
          <w:tcPr>
            <w:tcW w:w="3071" w:type="dxa"/>
          </w:tcPr>
          <w:p w:rsidR="002D6CF0" w:rsidRDefault="002D6CF0" w:rsidP="00750E1A">
            <w:r>
              <w:t>3.3.3 (4)</w:t>
            </w:r>
            <w:r w:rsidR="00450DCA">
              <w:rPr>
                <w:rFonts w:ascii="UniversLTStd" w:hAnsi="UniversLTStd" w:cs="UniversLTStd"/>
                <w:sz w:val="20"/>
                <w:szCs w:val="20"/>
              </w:rPr>
              <w:t xml:space="preserve"> </w:t>
            </w:r>
            <w:r w:rsidR="00450DCA" w:rsidRPr="00450DCA">
              <w:rPr>
                <w:sz w:val="18"/>
                <w:szCs w:val="18"/>
              </w:rPr>
              <w:t>die drei thermischen Energieübertragungsarten beschreiben</w:t>
            </w:r>
          </w:p>
          <w:p w:rsidR="00450DCA" w:rsidRPr="00450DCA" w:rsidRDefault="002D6CF0" w:rsidP="00450DCA">
            <w:pPr>
              <w:autoSpaceDE w:val="0"/>
              <w:autoSpaceDN w:val="0"/>
              <w:adjustRightInd w:val="0"/>
              <w:rPr>
                <w:sz w:val="18"/>
                <w:szCs w:val="18"/>
              </w:rPr>
            </w:pPr>
            <w:r>
              <w:t>3.3.3 (</w:t>
            </w:r>
            <w:r w:rsidR="007A37F3">
              <w:t>7</w:t>
            </w:r>
            <w:r>
              <w:t>)</w:t>
            </w:r>
            <w:r w:rsidR="00450DCA">
              <w:rPr>
                <w:rFonts w:ascii="UniversLTStd" w:hAnsi="UniversLTStd" w:cs="UniversLTStd"/>
                <w:sz w:val="20"/>
                <w:szCs w:val="20"/>
              </w:rPr>
              <w:t xml:space="preserve"> </w:t>
            </w:r>
            <w:r w:rsidR="00450DCA" w:rsidRPr="00450DCA">
              <w:rPr>
                <w:sz w:val="18"/>
                <w:szCs w:val="18"/>
              </w:rPr>
              <w:t>ihre physikalischen Kenntnisse zur Beschreibung des natürlichen und anthropogenen</w:t>
            </w:r>
          </w:p>
          <w:p w:rsidR="002D6CF0" w:rsidRPr="00450DCA" w:rsidRDefault="00450DCA" w:rsidP="00450DCA">
            <w:pPr>
              <w:rPr>
                <w:sz w:val="18"/>
                <w:szCs w:val="18"/>
              </w:rPr>
            </w:pPr>
            <w:r w:rsidRPr="00450DCA">
              <w:rPr>
                <w:sz w:val="18"/>
                <w:szCs w:val="18"/>
              </w:rPr>
              <w:t>Treibhauseffektes anwenden</w:t>
            </w:r>
          </w:p>
          <w:p w:rsidR="007A37F3" w:rsidRDefault="007A37F3" w:rsidP="007A37F3">
            <w:r>
              <w:t>3.3.3 (8)</w:t>
            </w:r>
            <w:r w:rsidR="00450DCA">
              <w:rPr>
                <w:rFonts w:ascii="UniversLTStd" w:hAnsi="UniversLTStd" w:cs="UniversLTStd"/>
                <w:sz w:val="20"/>
                <w:szCs w:val="20"/>
              </w:rPr>
              <w:t xml:space="preserve"> </w:t>
            </w:r>
            <w:r w:rsidR="00450DCA" w:rsidRPr="00450DCA">
              <w:rPr>
                <w:sz w:val="18"/>
                <w:szCs w:val="18"/>
              </w:rPr>
              <w:t>Auswirkungen des Treibhauseffektes auf die Klimaentwicklung beschreiben</w:t>
            </w:r>
          </w:p>
        </w:tc>
      </w:tr>
    </w:tbl>
    <w:p w:rsidR="007B3DB3" w:rsidRPr="00FA7F8D" w:rsidRDefault="007B3DB3" w:rsidP="007B3DB3">
      <w:pPr>
        <w:spacing w:after="0" w:line="240" w:lineRule="auto"/>
        <w:rPr>
          <w:b/>
        </w:rPr>
      </w:pPr>
      <w:r w:rsidRPr="00FA7F8D">
        <w:rPr>
          <w:b/>
        </w:rPr>
        <w:t>Voraussetzungen:</w:t>
      </w:r>
    </w:p>
    <w:p w:rsidR="007B3DB3" w:rsidRDefault="007B3DB3" w:rsidP="007B3DB3">
      <w:pPr>
        <w:spacing w:after="0" w:line="240" w:lineRule="auto"/>
      </w:pPr>
      <w:r>
        <w:t>BNT 3.1.4 (8) thermische Phänomene … und die drei thermischen Energietransportarten untersuchen</w:t>
      </w:r>
    </w:p>
    <w:p w:rsidR="007B3DB3" w:rsidRDefault="007B3DB3" w:rsidP="007B3DB3">
      <w:pPr>
        <w:spacing w:after="0" w:line="240" w:lineRule="auto"/>
      </w:pPr>
      <w:r>
        <w:t>BNT 3.1.4 (9) Materialien … im Hinblick auf deren Aufnahme von Wärmestrahlung untersuchen</w:t>
      </w:r>
    </w:p>
    <w:p w:rsidR="007B3DB3" w:rsidRDefault="007B3DB3" w:rsidP="007B3DB3">
      <w:pPr>
        <w:spacing w:after="0" w:line="240" w:lineRule="auto"/>
      </w:pPr>
      <w:r>
        <w:t xml:space="preserve">BNT 3.1.4 (10) untersuchen, welche Materialien … zur Wärmedämmung geeignet sind. </w:t>
      </w:r>
    </w:p>
    <w:p w:rsidR="007B3DB3" w:rsidRDefault="007B3DB3" w:rsidP="007B3DB3">
      <w:pPr>
        <w:spacing w:after="0" w:line="240" w:lineRule="auto"/>
      </w:pPr>
      <w:r>
        <w:t>3.2.3 (3) Speicherung von Energie</w:t>
      </w:r>
    </w:p>
    <w:p w:rsidR="00B965F4" w:rsidRPr="00BF33D0" w:rsidRDefault="00BF33D0" w:rsidP="007B3DB3">
      <w:pPr>
        <w:spacing w:after="0" w:line="240" w:lineRule="auto"/>
        <w:rPr>
          <w:i/>
        </w:rPr>
      </w:pPr>
      <w:r w:rsidRPr="00BF33D0">
        <w:rPr>
          <w:i/>
        </w:rPr>
        <w:t>[</w:t>
      </w:r>
      <w:r w:rsidR="00B965F4" w:rsidRPr="00BF33D0">
        <w:rPr>
          <w:i/>
        </w:rPr>
        <w:t>Geografie 3.2.2.3 (1) Treibhauseffekt in Grundzügen (Klasse 7/8)</w:t>
      </w:r>
      <w:r w:rsidRPr="00BF33D0">
        <w:rPr>
          <w:i/>
        </w:rPr>
        <w:t>]</w:t>
      </w:r>
    </w:p>
    <w:p w:rsidR="007B3DB3" w:rsidRDefault="007B3DB3" w:rsidP="007B3DB3">
      <w:pPr>
        <w:spacing w:after="0" w:line="240" w:lineRule="auto"/>
      </w:pPr>
      <w:r>
        <w:t>Reflexion von Wärmestrahlung</w:t>
      </w:r>
    </w:p>
    <w:p w:rsidR="007B3DB3" w:rsidRDefault="007B3DB3" w:rsidP="007B3DB3">
      <w:pPr>
        <w:spacing w:after="0" w:line="240" w:lineRule="auto"/>
      </w:pPr>
      <w:r>
        <w:t>Absorption von Wärmestrahlung</w:t>
      </w:r>
    </w:p>
    <w:p w:rsidR="007B3DB3" w:rsidRDefault="007B3DB3" w:rsidP="00E92231">
      <w:pPr>
        <w:spacing w:after="0" w:line="240" w:lineRule="auto"/>
      </w:pPr>
    </w:p>
    <w:p w:rsidR="00FA7F8D" w:rsidRPr="00AF69A8" w:rsidRDefault="00FA7F8D" w:rsidP="00FA7F8D">
      <w:pPr>
        <w:spacing w:after="0" w:line="240" w:lineRule="auto"/>
        <w:rPr>
          <w:b/>
        </w:rPr>
      </w:pPr>
      <w:r w:rsidRPr="00AF69A8">
        <w:rPr>
          <w:b/>
        </w:rPr>
        <w:t>Problemstellung:</w:t>
      </w:r>
    </w:p>
    <w:p w:rsidR="00FA7F8D" w:rsidRDefault="00FA7F8D" w:rsidP="00FA7F8D">
      <w:pPr>
        <w:spacing w:after="0" w:line="240" w:lineRule="auto"/>
      </w:pPr>
      <w:r>
        <w:t xml:space="preserve">Wie ändert sich die Temperatur auf der Erde durch die Reflexion von Sonnenlicht, durch die Absorption von Sonnenlicht in der Atmosphäre und durch die Absorption von der Wärmestrahlung (Infrarot) der Erde in der Atmosphäre? </w:t>
      </w:r>
    </w:p>
    <w:p w:rsidR="004D2885" w:rsidRDefault="004D2885" w:rsidP="00E92231">
      <w:pPr>
        <w:spacing w:after="0" w:line="240" w:lineRule="auto"/>
      </w:pPr>
    </w:p>
    <w:p w:rsidR="00AF69A8" w:rsidRPr="00E933DF" w:rsidRDefault="00AF69A8" w:rsidP="00AF69A8">
      <w:pPr>
        <w:spacing w:after="0" w:line="240" w:lineRule="auto"/>
        <w:rPr>
          <w:b/>
        </w:rPr>
      </w:pPr>
      <w:r w:rsidRPr="00E933DF">
        <w:rPr>
          <w:b/>
        </w:rPr>
        <w:t>Ziele:</w:t>
      </w:r>
    </w:p>
    <w:p w:rsidR="00AF69A8" w:rsidRDefault="00AF69A8" w:rsidP="00AF69A8">
      <w:pPr>
        <w:pStyle w:val="Listenabsatz"/>
        <w:numPr>
          <w:ilvl w:val="0"/>
          <w:numId w:val="7"/>
        </w:numPr>
        <w:spacing w:after="0" w:line="240" w:lineRule="auto"/>
      </w:pPr>
      <w:r>
        <w:t xml:space="preserve">Reflexionseffekte auf die Erdtemperatur untersuchen (Albedo-Effekt) </w:t>
      </w:r>
    </w:p>
    <w:p w:rsidR="00AF69A8" w:rsidRDefault="00AF69A8" w:rsidP="00AF69A8">
      <w:pPr>
        <w:pStyle w:val="Listenabsatz"/>
        <w:numPr>
          <w:ilvl w:val="0"/>
          <w:numId w:val="7"/>
        </w:numPr>
        <w:spacing w:after="0" w:line="240" w:lineRule="auto"/>
      </w:pPr>
      <w:r>
        <w:t>Absorption-Effekte der Atmosphäre auf die Erdtemperatur untersuchen</w:t>
      </w:r>
    </w:p>
    <w:p w:rsidR="00AF69A8" w:rsidRDefault="00AF69A8" w:rsidP="00AF69A8">
      <w:pPr>
        <w:pStyle w:val="Listenabsatz"/>
        <w:numPr>
          <w:ilvl w:val="0"/>
          <w:numId w:val="7"/>
        </w:numPr>
        <w:spacing w:after="0" w:line="240" w:lineRule="auto"/>
      </w:pPr>
      <w:r>
        <w:t xml:space="preserve">Den natürlichen Treibhauseffekt im einfachen Modell verstehen  </w:t>
      </w:r>
    </w:p>
    <w:p w:rsidR="007B3DB3" w:rsidRDefault="007B3DB3" w:rsidP="00E92231">
      <w:pPr>
        <w:spacing w:after="0" w:line="240" w:lineRule="auto"/>
      </w:pPr>
    </w:p>
    <w:p w:rsidR="00AF69A8" w:rsidRDefault="00AF69A8" w:rsidP="00E92231">
      <w:pPr>
        <w:spacing w:after="0" w:line="240" w:lineRule="auto"/>
      </w:pPr>
    </w:p>
    <w:p w:rsidR="00450DCA" w:rsidRPr="00E933DF" w:rsidRDefault="00450DCA" w:rsidP="00E92231">
      <w:pPr>
        <w:spacing w:after="0" w:line="240" w:lineRule="auto"/>
        <w:rPr>
          <w:b/>
        </w:rPr>
      </w:pPr>
      <w:r w:rsidRPr="00E933DF">
        <w:rPr>
          <w:b/>
        </w:rPr>
        <w:t>Anmerkungen:</w:t>
      </w:r>
    </w:p>
    <w:p w:rsidR="00450DCA" w:rsidRDefault="00450DCA" w:rsidP="00E92231">
      <w:pPr>
        <w:spacing w:after="0" w:line="240" w:lineRule="auto"/>
      </w:pPr>
      <w:r>
        <w:t xml:space="preserve">Die Berechnung wurde mit Hilfe eines einfachen 3-Schichten-Modells </w:t>
      </w:r>
      <w:proofErr w:type="gramStart"/>
      <w:r w:rsidR="00C21F0F">
        <w:t>des</w:t>
      </w:r>
      <w:proofErr w:type="gramEnd"/>
      <w:r w:rsidR="00C21F0F">
        <w:t xml:space="preserve"> </w:t>
      </w:r>
      <w:r>
        <w:t>Systems Weltall-Atmosphäre-Erde vorgenommen. Die iterativen Berechnungen w</w:t>
      </w:r>
      <w:r w:rsidR="0028752C">
        <w:t>e</w:t>
      </w:r>
      <w:r>
        <w:t xml:space="preserve">rden in einem Tabellenkalkulationsprogramm </w:t>
      </w:r>
      <w:r w:rsidR="0028752C">
        <w:t xml:space="preserve">durchgeführt. Nach etwa 10 Iterationsschritten ist das Ergebnis hinreichend konstant. </w:t>
      </w:r>
    </w:p>
    <w:p w:rsidR="0028752C" w:rsidRDefault="0028752C" w:rsidP="00E92231">
      <w:pPr>
        <w:spacing w:after="0" w:line="240" w:lineRule="auto"/>
      </w:pPr>
    </w:p>
    <w:p w:rsidR="0028752C" w:rsidRDefault="00E933DF" w:rsidP="00E92231">
      <w:pPr>
        <w:spacing w:after="0" w:line="240" w:lineRule="auto"/>
      </w:pPr>
      <w:r>
        <w:t xml:space="preserve">Das Arbeitsblatt ist schreibgeschützt und für die </w:t>
      </w:r>
      <w:proofErr w:type="spellStart"/>
      <w:r>
        <w:t>SuS</w:t>
      </w:r>
      <w:proofErr w:type="spellEnd"/>
      <w:r>
        <w:t xml:space="preserve"> mit einem Passwort geschützt. </w:t>
      </w:r>
      <w:r w:rsidR="0028752C">
        <w:t xml:space="preserve">Die </w:t>
      </w:r>
      <w:proofErr w:type="spellStart"/>
      <w:r w:rsidR="0028752C">
        <w:t>SuS</w:t>
      </w:r>
      <w:proofErr w:type="spellEnd"/>
      <w:r w:rsidR="0028752C">
        <w:t xml:space="preserve"> können in dem Arbeitsblatt lediglich die Anteile für die Reflexion und Absorption der Sonnenstrahlung zwischen 0 und 100% verändern und zusätzlich auch den Anteil der Absorption der Wärmestrahlung der Erde. Fehleingaben wie z. B. negative Anteile oder Werte über 100% werden durch Fehlermeldungen abgefangen. </w:t>
      </w:r>
    </w:p>
    <w:p w:rsidR="00E933DF" w:rsidRDefault="00E933DF" w:rsidP="00E92231">
      <w:pPr>
        <w:spacing w:after="0" w:line="240" w:lineRule="auto"/>
      </w:pPr>
    </w:p>
    <w:p w:rsidR="0028752C" w:rsidRDefault="0028752C" w:rsidP="00E92231">
      <w:pPr>
        <w:spacing w:after="0" w:line="240" w:lineRule="auto"/>
      </w:pPr>
      <w:r>
        <w:t xml:space="preserve">Der Berechnungshintergrund ist einmal mit Werten und einmal mit den eingesetzten Formeln auf den folgenden zwei Seiten dargestellt. </w:t>
      </w:r>
    </w:p>
    <w:p w:rsidR="00AF69A8" w:rsidRDefault="00AF69A8" w:rsidP="00E92231">
      <w:pPr>
        <w:spacing w:after="0" w:line="240" w:lineRule="auto"/>
      </w:pPr>
    </w:p>
    <w:p w:rsidR="00AF69A8" w:rsidRDefault="00AF69A8" w:rsidP="00E92231">
      <w:pPr>
        <w:spacing w:after="0" w:line="240" w:lineRule="auto"/>
      </w:pPr>
    </w:p>
    <w:p w:rsidR="00AF69A8" w:rsidRDefault="00AF69A8" w:rsidP="00E92231">
      <w:pPr>
        <w:spacing w:after="0" w:line="240" w:lineRule="auto"/>
      </w:pPr>
    </w:p>
    <w:p w:rsidR="00AF69A8" w:rsidRDefault="00AF69A8" w:rsidP="00E92231">
      <w:pPr>
        <w:spacing w:after="0" w:line="240" w:lineRule="auto"/>
      </w:pPr>
    </w:p>
    <w:p w:rsidR="00AF69A8" w:rsidRDefault="00AF69A8" w:rsidP="00E92231">
      <w:pPr>
        <w:spacing w:after="0" w:line="240" w:lineRule="auto"/>
      </w:pPr>
    </w:p>
    <w:p w:rsidR="00AF69A8" w:rsidRDefault="008679B7" w:rsidP="00E92231">
      <w:pPr>
        <w:spacing w:after="0" w:line="240" w:lineRule="auto"/>
        <w:rPr>
          <w:noProof/>
          <w:lang w:eastAsia="de-DE"/>
        </w:rPr>
      </w:pPr>
      <w:r>
        <w:rPr>
          <w:noProof/>
          <w:lang w:eastAsia="de-DE"/>
        </w:rPr>
        <w:lastRenderedPageBreak/>
        <w:drawing>
          <wp:inline distT="0" distB="0" distL="0" distR="0" wp14:anchorId="3F5DFAA9" wp14:editId="6869AA0B">
            <wp:extent cx="8501258" cy="5857483"/>
            <wp:effectExtent l="7303" t="0" r="2857" b="2858"/>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6200000">
                      <a:off x="0" y="0"/>
                      <a:ext cx="8496971" cy="5854529"/>
                    </a:xfrm>
                    <a:prstGeom prst="rect">
                      <a:avLst/>
                    </a:prstGeom>
                  </pic:spPr>
                </pic:pic>
              </a:graphicData>
            </a:graphic>
          </wp:inline>
        </w:drawing>
      </w:r>
    </w:p>
    <w:p w:rsidR="00E5671F" w:rsidRDefault="00E5671F" w:rsidP="00E92231">
      <w:pPr>
        <w:spacing w:after="0" w:line="240" w:lineRule="auto"/>
        <w:rPr>
          <w:noProof/>
          <w:lang w:eastAsia="de-DE"/>
        </w:rPr>
      </w:pPr>
    </w:p>
    <w:p w:rsidR="0028752C" w:rsidRDefault="0028752C" w:rsidP="00E92231">
      <w:pPr>
        <w:spacing w:after="0" w:line="240" w:lineRule="auto"/>
      </w:pPr>
      <w:r>
        <w:rPr>
          <w:noProof/>
          <w:lang w:eastAsia="de-DE"/>
        </w:rPr>
        <w:lastRenderedPageBreak/>
        <w:drawing>
          <wp:inline distT="0" distB="0" distL="0" distR="0">
            <wp:extent cx="8630907" cy="5425712"/>
            <wp:effectExtent l="2223" t="0" r="1587" b="1588"/>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ung_Treibhauseffekt_Formeln.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628323" cy="5424088"/>
                    </a:xfrm>
                    <a:prstGeom prst="rect">
                      <a:avLst/>
                    </a:prstGeom>
                  </pic:spPr>
                </pic:pic>
              </a:graphicData>
            </a:graphic>
          </wp:inline>
        </w:drawing>
      </w:r>
    </w:p>
    <w:p w:rsidR="0028752C" w:rsidRDefault="0028752C" w:rsidP="00E92231">
      <w:pPr>
        <w:spacing w:after="0" w:line="240" w:lineRule="auto"/>
      </w:pPr>
    </w:p>
    <w:p w:rsidR="0028752C" w:rsidRDefault="0028752C" w:rsidP="00E92231">
      <w:pPr>
        <w:spacing w:after="0" w:line="240" w:lineRule="auto"/>
      </w:pPr>
    </w:p>
    <w:p w:rsidR="00AF69A8" w:rsidRDefault="00D354C4" w:rsidP="00AF69A8">
      <w:pPr>
        <w:pStyle w:val="berschrift2"/>
        <w:spacing w:before="0" w:line="240" w:lineRule="auto"/>
      </w:pPr>
      <w:r>
        <w:lastRenderedPageBreak/>
        <w:t xml:space="preserve">Arbeitsblatt </w:t>
      </w:r>
      <w:r w:rsidR="00AF69A8">
        <w:t xml:space="preserve"> –</w:t>
      </w:r>
      <w:r w:rsidR="00D829CB">
        <w:t xml:space="preserve"> </w:t>
      </w:r>
      <w:r w:rsidR="00AF69A8">
        <w:t>Treibhauseffekt</w:t>
      </w:r>
    </w:p>
    <w:p w:rsidR="00AF69A8" w:rsidRDefault="00AF69A8" w:rsidP="00E92231">
      <w:pPr>
        <w:spacing w:after="0" w:line="240" w:lineRule="auto"/>
      </w:pPr>
    </w:p>
    <w:p w:rsidR="00E92231" w:rsidRPr="00AF69A8" w:rsidRDefault="00E92231" w:rsidP="00E92231">
      <w:pPr>
        <w:spacing w:after="0" w:line="240" w:lineRule="auto"/>
        <w:rPr>
          <w:b/>
        </w:rPr>
      </w:pPr>
      <w:r w:rsidRPr="00AF69A8">
        <w:rPr>
          <w:b/>
        </w:rPr>
        <w:t>Problemstellung:</w:t>
      </w:r>
      <w:bookmarkStart w:id="0" w:name="_GoBack"/>
      <w:bookmarkEnd w:id="0"/>
    </w:p>
    <w:p w:rsidR="00E92231" w:rsidRDefault="007A37F3" w:rsidP="00E92231">
      <w:pPr>
        <w:spacing w:after="0" w:line="240" w:lineRule="auto"/>
      </w:pPr>
      <w:r>
        <w:t xml:space="preserve">Wie ändert sich die Temperatur </w:t>
      </w:r>
      <w:r w:rsidR="00AF69A8">
        <w:t xml:space="preserve">auf </w:t>
      </w:r>
      <w:r>
        <w:t>der Erde durch die Reflexion</w:t>
      </w:r>
      <w:r w:rsidR="00AF69A8">
        <w:t xml:space="preserve"> </w:t>
      </w:r>
      <w:r w:rsidR="003B2272">
        <w:t>von Sonnenlicht</w:t>
      </w:r>
      <w:r w:rsidR="00AF69A8">
        <w:t xml:space="preserve">, durch die Absorption von Sonnenlicht </w:t>
      </w:r>
      <w:r w:rsidR="003B2272">
        <w:t xml:space="preserve">in der Atmosphäre </w:t>
      </w:r>
      <w:r w:rsidR="00AF69A8">
        <w:t>und</w:t>
      </w:r>
      <w:r w:rsidR="00BF1D7B">
        <w:t xml:space="preserve"> durch die</w:t>
      </w:r>
      <w:r>
        <w:t xml:space="preserve"> </w:t>
      </w:r>
      <w:r w:rsidR="00BF1D7B">
        <w:t xml:space="preserve">Absorption </w:t>
      </w:r>
      <w:r>
        <w:t xml:space="preserve">von </w:t>
      </w:r>
      <w:r w:rsidR="00B85B3D">
        <w:t xml:space="preserve">der </w:t>
      </w:r>
      <w:r w:rsidR="003B2272">
        <w:t xml:space="preserve">Wärmestrahlung </w:t>
      </w:r>
      <w:r w:rsidR="00073202">
        <w:t xml:space="preserve">(Infrarot) </w:t>
      </w:r>
      <w:r w:rsidR="003B2272">
        <w:t xml:space="preserve">der Erde </w:t>
      </w:r>
      <w:r w:rsidR="00BF1D7B">
        <w:t>in der Atmosphäre</w:t>
      </w:r>
      <w:r w:rsidR="00E92231">
        <w:t>?</w:t>
      </w:r>
      <w:r w:rsidR="003B2272">
        <w:t xml:space="preserve"> </w:t>
      </w:r>
    </w:p>
    <w:p w:rsidR="00013038" w:rsidRDefault="00013038" w:rsidP="00275E8A">
      <w:pPr>
        <w:spacing w:after="0" w:line="240" w:lineRule="auto"/>
      </w:pPr>
    </w:p>
    <w:p w:rsidR="00E92231" w:rsidRDefault="00E92231" w:rsidP="00E92231">
      <w:pPr>
        <w:spacing w:after="0" w:line="240" w:lineRule="auto"/>
      </w:pPr>
    </w:p>
    <w:p w:rsidR="00013038" w:rsidRPr="00AF69A8" w:rsidRDefault="00013038" w:rsidP="00275E8A">
      <w:pPr>
        <w:spacing w:after="0" w:line="240" w:lineRule="auto"/>
        <w:rPr>
          <w:b/>
        </w:rPr>
      </w:pPr>
      <w:r w:rsidRPr="00AF69A8">
        <w:rPr>
          <w:b/>
        </w:rPr>
        <w:t>Modellexperiment:</w:t>
      </w:r>
    </w:p>
    <w:p w:rsidR="005C5D51" w:rsidRDefault="007A37F3" w:rsidP="00275E8A">
      <w:pPr>
        <w:spacing w:after="0" w:line="240" w:lineRule="auto"/>
      </w:pPr>
      <w:r>
        <w:t>Im globalen Mittel empfängt das System Erde-Atmosphäre eine Strahlungsleistung der Sonne von 342 W</w:t>
      </w:r>
      <w:r w:rsidR="00585212">
        <w:t xml:space="preserve"> pro </w:t>
      </w:r>
      <w:r>
        <w:t>m</w:t>
      </w:r>
      <w:r>
        <w:rPr>
          <w:vertAlign w:val="superscript"/>
        </w:rPr>
        <w:t>2</w:t>
      </w:r>
      <w:r w:rsidR="002D6CF0">
        <w:t>.</w:t>
      </w:r>
      <w:r w:rsidR="005C5D51">
        <w:t xml:space="preserve"> </w:t>
      </w:r>
      <w:r w:rsidR="00501A3F">
        <w:t>In</w:t>
      </w:r>
      <w:r w:rsidR="00AF69A8">
        <w:t xml:space="preserve"> der Datei „Modell_Treibhaus</w:t>
      </w:r>
      <w:r w:rsidR="003B2272">
        <w:t>_1</w:t>
      </w:r>
      <w:r w:rsidR="005A2BA9">
        <w:t xml:space="preserve">.xlsx“ </w:t>
      </w:r>
      <w:r w:rsidR="00501A3F">
        <w:t xml:space="preserve">werden die </w:t>
      </w:r>
      <w:r w:rsidR="00073202">
        <w:t xml:space="preserve">3 </w:t>
      </w:r>
      <w:r w:rsidR="00501A3F">
        <w:t xml:space="preserve">Effekte der </w:t>
      </w:r>
    </w:p>
    <w:p w:rsidR="005A2BA9" w:rsidRDefault="005A2BA9" w:rsidP="005A2BA9">
      <w:pPr>
        <w:pStyle w:val="Listenabsatz"/>
        <w:numPr>
          <w:ilvl w:val="0"/>
          <w:numId w:val="8"/>
        </w:numPr>
        <w:spacing w:after="0" w:line="240" w:lineRule="auto"/>
      </w:pPr>
      <w:r>
        <w:t>Reflexion der Sonnen</w:t>
      </w:r>
      <w:r w:rsidR="00BF1D7B">
        <w:t>ein</w:t>
      </w:r>
      <w:r>
        <w:t>strahlung (Albedo-Effekt)</w:t>
      </w:r>
    </w:p>
    <w:p w:rsidR="005A2BA9" w:rsidRDefault="005A2BA9" w:rsidP="005A2BA9">
      <w:pPr>
        <w:pStyle w:val="Listenabsatz"/>
        <w:numPr>
          <w:ilvl w:val="0"/>
          <w:numId w:val="8"/>
        </w:numPr>
        <w:spacing w:after="0" w:line="240" w:lineRule="auto"/>
      </w:pPr>
      <w:r>
        <w:t>Absorption der Sonnen</w:t>
      </w:r>
      <w:r w:rsidR="00BF1D7B">
        <w:t>ein</w:t>
      </w:r>
      <w:r>
        <w:t>strahlung in der Atmosphäre</w:t>
      </w:r>
    </w:p>
    <w:p w:rsidR="005A2BA9" w:rsidRDefault="005A2BA9" w:rsidP="005A2BA9">
      <w:pPr>
        <w:pStyle w:val="Listenabsatz"/>
        <w:numPr>
          <w:ilvl w:val="0"/>
          <w:numId w:val="8"/>
        </w:numPr>
        <w:spacing w:after="0" w:line="240" w:lineRule="auto"/>
      </w:pPr>
      <w:r>
        <w:t xml:space="preserve">Absorption der IR-Strahlung der Erde </w:t>
      </w:r>
      <w:r w:rsidR="00BF1D7B">
        <w:t>in der Atmosphäre</w:t>
      </w:r>
    </w:p>
    <w:p w:rsidR="005A2BA9" w:rsidRDefault="00501A3F" w:rsidP="005A2BA9">
      <w:pPr>
        <w:spacing w:after="0" w:line="240" w:lineRule="auto"/>
      </w:pPr>
      <w:r>
        <w:t>auf die Temperatur der Erde berechnet und dargestellt</w:t>
      </w:r>
      <w:r w:rsidR="005A2BA9">
        <w:t>.</w:t>
      </w:r>
    </w:p>
    <w:p w:rsidR="00E6684B" w:rsidRDefault="00E6684B" w:rsidP="00275E8A">
      <w:pPr>
        <w:spacing w:after="0" w:line="240" w:lineRule="auto"/>
      </w:pPr>
    </w:p>
    <w:p w:rsidR="00E6684B" w:rsidRPr="00AF69A8" w:rsidRDefault="00E6684B" w:rsidP="00E6684B">
      <w:pPr>
        <w:spacing w:after="0" w:line="240" w:lineRule="auto"/>
        <w:rPr>
          <w:b/>
        </w:rPr>
      </w:pPr>
      <w:r w:rsidRPr="00AF69A8">
        <w:rPr>
          <w:b/>
        </w:rPr>
        <w:t>Aufgabe</w:t>
      </w:r>
      <w:r w:rsidR="005B0D86">
        <w:rPr>
          <w:b/>
        </w:rPr>
        <w:t>n</w:t>
      </w:r>
      <w:r w:rsidRPr="00AF69A8">
        <w:rPr>
          <w:b/>
        </w:rPr>
        <w:t>:</w:t>
      </w:r>
    </w:p>
    <w:p w:rsidR="005A2BA9" w:rsidRDefault="005A2BA9" w:rsidP="00AF69A8">
      <w:pPr>
        <w:pStyle w:val="Listenabsatz"/>
        <w:numPr>
          <w:ilvl w:val="0"/>
          <w:numId w:val="6"/>
        </w:numPr>
        <w:spacing w:before="120" w:after="0" w:line="240" w:lineRule="auto"/>
        <w:ind w:left="714" w:hanging="357"/>
        <w:contextualSpacing w:val="0"/>
      </w:pPr>
      <w:r>
        <w:t>Öffne die Date</w:t>
      </w:r>
      <w:r w:rsidR="00D24767">
        <w:t>i</w:t>
      </w:r>
      <w:r w:rsidR="00AF69A8">
        <w:t xml:space="preserve"> „</w:t>
      </w:r>
      <w:hyperlink r:id="rId10" w:history="1">
        <w:r w:rsidR="00AF69A8" w:rsidRPr="00AF69A8">
          <w:rPr>
            <w:rStyle w:val="Hyperlink"/>
          </w:rPr>
          <w:t>Modell_Treibhaus</w:t>
        </w:r>
        <w:r w:rsidR="0092206C">
          <w:rPr>
            <w:rStyle w:val="Hyperlink"/>
          </w:rPr>
          <w:t>_1</w:t>
        </w:r>
        <w:r w:rsidRPr="00AF69A8">
          <w:rPr>
            <w:rStyle w:val="Hyperlink"/>
          </w:rPr>
          <w:t>.xlsx</w:t>
        </w:r>
      </w:hyperlink>
      <w:r>
        <w:t>“</w:t>
      </w:r>
      <w:r w:rsidR="00D24767">
        <w:t xml:space="preserve">. </w:t>
      </w:r>
    </w:p>
    <w:p w:rsidR="00BF1D7B" w:rsidRDefault="003C3C87" w:rsidP="00AF69A8">
      <w:pPr>
        <w:pStyle w:val="Listenabsatz"/>
        <w:numPr>
          <w:ilvl w:val="0"/>
          <w:numId w:val="6"/>
        </w:numPr>
        <w:spacing w:before="120" w:after="0" w:line="240" w:lineRule="auto"/>
        <w:ind w:left="714" w:hanging="357"/>
        <w:contextualSpacing w:val="0"/>
      </w:pPr>
      <w:r>
        <w:t xml:space="preserve">Untersuche </w:t>
      </w:r>
      <w:r w:rsidR="00B81FFE">
        <w:t xml:space="preserve">zunächst </w:t>
      </w:r>
      <w:r>
        <w:t xml:space="preserve">den Effekt einer </w:t>
      </w:r>
      <w:r w:rsidR="00BF1D7B">
        <w:t xml:space="preserve">stärkeren Reflexion der Sonneneinstrahlung auf die Erdtemperatur. </w:t>
      </w:r>
      <w:r w:rsidR="00D23AC9">
        <w:t>Vergrößere dazu den</w:t>
      </w:r>
      <w:r w:rsidR="003B2272">
        <w:t xml:space="preserve"> Reflexionsanteil jeweils um </w:t>
      </w:r>
      <w:r w:rsidR="00DC68F5">
        <w:t>10</w:t>
      </w:r>
      <w:r w:rsidR="003B2272">
        <w:t xml:space="preserve">% </w:t>
      </w:r>
      <w:r w:rsidR="00DC68F5">
        <w:t xml:space="preserve">bis 100% </w:t>
      </w:r>
      <w:r w:rsidR="00D23AC9">
        <w:t>und notiere jeweils die Werte. Formuliere zu de</w:t>
      </w:r>
      <w:r w:rsidR="00D24767">
        <w:t xml:space="preserve">m Ergebnis einen </w:t>
      </w:r>
      <w:r w:rsidR="00D23AC9">
        <w:t>je-desto-S</w:t>
      </w:r>
      <w:r w:rsidR="00D24767">
        <w:t>atz</w:t>
      </w:r>
      <w:r w:rsidR="00D23AC9">
        <w:t>.</w:t>
      </w:r>
      <w:r w:rsidR="00D24767">
        <w:t xml:space="preserve"> </w:t>
      </w:r>
      <w:r w:rsidR="00D23AC9">
        <w:br/>
        <w:t xml:space="preserve">Hinweis: Der gesamte Reflexionsanteil beträgt </w:t>
      </w:r>
      <w:r w:rsidR="003B2272">
        <w:t>zurzeit</w:t>
      </w:r>
      <w:r w:rsidR="00D24767">
        <w:t xml:space="preserve"> </w:t>
      </w:r>
      <w:r w:rsidR="00BF33D0">
        <w:t xml:space="preserve">etwa </w:t>
      </w:r>
      <w:r w:rsidR="003B2272">
        <w:t>30%</w:t>
      </w:r>
      <w:r w:rsidR="00D23AC9">
        <w:t xml:space="preserve">. </w:t>
      </w:r>
    </w:p>
    <w:p w:rsidR="003C3C87" w:rsidRDefault="00DC68F5" w:rsidP="00AF69A8">
      <w:pPr>
        <w:pStyle w:val="Listenabsatz"/>
        <w:numPr>
          <w:ilvl w:val="0"/>
          <w:numId w:val="6"/>
        </w:numPr>
        <w:spacing w:before="120" w:after="0" w:line="240" w:lineRule="auto"/>
        <w:ind w:left="714" w:hanging="357"/>
        <w:contextualSpacing w:val="0"/>
      </w:pPr>
      <w:r>
        <w:t>Setze den Reflexionsanteil auf 30% und alle anderen auf 0</w:t>
      </w:r>
      <w:proofErr w:type="gramStart"/>
      <w:r>
        <w:t>% .</w:t>
      </w:r>
      <w:proofErr w:type="gramEnd"/>
      <w:r>
        <w:t xml:space="preserve"> </w:t>
      </w:r>
      <w:r w:rsidR="00D23AC9">
        <w:t>Ve</w:t>
      </w:r>
      <w:r w:rsidR="00D24767">
        <w:t>rgröße</w:t>
      </w:r>
      <w:r w:rsidR="00D23AC9">
        <w:t xml:space="preserve">re anschließend den Wert für die Absorption der Sonneneinstrahlung </w:t>
      </w:r>
      <w:r>
        <w:t xml:space="preserve">ebenfalls </w:t>
      </w:r>
      <w:r w:rsidR="002662DC">
        <w:t xml:space="preserve">um </w:t>
      </w:r>
      <w:r w:rsidR="00BF33D0">
        <w:t xml:space="preserve">jeweils </w:t>
      </w:r>
      <w:r>
        <w:t>10</w:t>
      </w:r>
      <w:r w:rsidR="003B2272">
        <w:t>%</w:t>
      </w:r>
      <w:r>
        <w:t xml:space="preserve"> bis </w:t>
      </w:r>
      <w:r w:rsidR="008F0114">
        <w:t>7</w:t>
      </w:r>
      <w:r>
        <w:t>0 %</w:t>
      </w:r>
      <w:r w:rsidR="00BF33D0">
        <w:t>. N</w:t>
      </w:r>
      <w:r w:rsidR="00D23AC9">
        <w:t>otiere immer alle eingestellten Werte und die jeweils daraus folgende Erdtemperatur. Formuliere zu de</w:t>
      </w:r>
      <w:r w:rsidR="00D24767">
        <w:t>m</w:t>
      </w:r>
      <w:r w:rsidR="00D23AC9">
        <w:t xml:space="preserve"> Ergebnis </w:t>
      </w:r>
      <w:r w:rsidR="00D24767">
        <w:t xml:space="preserve">einen </w:t>
      </w:r>
      <w:r w:rsidR="00D23AC9">
        <w:t>je-desto-S</w:t>
      </w:r>
      <w:r w:rsidR="00D24767">
        <w:t>atz</w:t>
      </w:r>
      <w:r w:rsidR="00D23AC9">
        <w:t xml:space="preserve">. </w:t>
      </w:r>
      <w:r w:rsidR="00D23AC9">
        <w:br/>
        <w:t xml:space="preserve">Hinweis: Der Absorptionsanteil für die Sonneneinstrahlung beträgt </w:t>
      </w:r>
      <w:r w:rsidR="003B2272">
        <w:t xml:space="preserve">zurzeit </w:t>
      </w:r>
      <w:r w:rsidR="00BF33D0">
        <w:t xml:space="preserve">etwa </w:t>
      </w:r>
      <w:r w:rsidR="003B2272">
        <w:t>20%</w:t>
      </w:r>
      <w:r w:rsidR="00D23AC9">
        <w:t>.</w:t>
      </w:r>
      <w:r w:rsidR="003B2272">
        <w:t xml:space="preserve"> </w:t>
      </w:r>
    </w:p>
    <w:p w:rsidR="00BE0F1A" w:rsidRDefault="00DC68F5" w:rsidP="003B2272">
      <w:pPr>
        <w:pStyle w:val="Listenabsatz"/>
        <w:numPr>
          <w:ilvl w:val="0"/>
          <w:numId w:val="6"/>
        </w:numPr>
        <w:spacing w:before="120" w:after="0" w:line="240" w:lineRule="auto"/>
        <w:ind w:left="714" w:right="-142" w:hanging="357"/>
        <w:contextualSpacing w:val="0"/>
      </w:pPr>
      <w:r>
        <w:t xml:space="preserve">Setze den Reflexionsanteil auf 30% und den Absorptionsanteil für Sonnenlicht auf 20%. </w:t>
      </w:r>
      <w:r w:rsidR="00D24767">
        <w:t xml:space="preserve">Vergrößere </w:t>
      </w:r>
      <w:r w:rsidR="00585212">
        <w:t xml:space="preserve">schließlich </w:t>
      </w:r>
      <w:r w:rsidR="00D872F5">
        <w:t xml:space="preserve">die Werte für die Absorption </w:t>
      </w:r>
      <w:r w:rsidR="00585212">
        <w:t>der Erdstrahlung  (I</w:t>
      </w:r>
      <w:r w:rsidR="00AF69A8">
        <w:t>nfrarot I</w:t>
      </w:r>
      <w:r w:rsidR="00585212">
        <w:t>R) schrittweise</w:t>
      </w:r>
      <w:r w:rsidR="00BF33D0">
        <w:t xml:space="preserve"> um </w:t>
      </w:r>
      <w:r w:rsidR="003B2272">
        <w:t>10%</w:t>
      </w:r>
      <w:r w:rsidR="00585212">
        <w:t xml:space="preserve">, bis die Erdtemperatur </w:t>
      </w:r>
      <w:r w:rsidR="002010D9">
        <w:t>etwa dem heutigen Wert</w:t>
      </w:r>
      <w:r w:rsidR="00D872F5">
        <w:t xml:space="preserve"> </w:t>
      </w:r>
      <w:r w:rsidR="002010D9">
        <w:t xml:space="preserve">von </w:t>
      </w:r>
      <w:r w:rsidR="00D872F5">
        <w:t>+1</w:t>
      </w:r>
      <w:r w:rsidR="00585212">
        <w:t>0</w:t>
      </w:r>
      <w:r w:rsidR="00D872F5">
        <w:t xml:space="preserve"> </w:t>
      </w:r>
      <w:r w:rsidR="00D872F5">
        <w:rPr>
          <w:vertAlign w:val="superscript"/>
        </w:rPr>
        <w:t>0</w:t>
      </w:r>
      <w:r w:rsidR="00D872F5">
        <w:t xml:space="preserve">C </w:t>
      </w:r>
      <w:r w:rsidR="002010D9">
        <w:t>entspricht</w:t>
      </w:r>
      <w:r w:rsidR="00D872F5">
        <w:t xml:space="preserve"> (natürlicher Treibhauseffekt).</w:t>
      </w:r>
      <w:r w:rsidR="002010D9">
        <w:t xml:space="preserve"> </w:t>
      </w:r>
    </w:p>
    <w:p w:rsidR="003C3C87" w:rsidRDefault="003C3C87" w:rsidP="00AF69A8">
      <w:pPr>
        <w:pStyle w:val="Listenabsatz"/>
        <w:numPr>
          <w:ilvl w:val="0"/>
          <w:numId w:val="6"/>
        </w:numPr>
        <w:spacing w:before="120" w:after="0" w:line="240" w:lineRule="auto"/>
        <w:ind w:left="714" w:hanging="357"/>
        <w:contextualSpacing w:val="0"/>
      </w:pPr>
      <w:r>
        <w:t>Stelle die Ergebnisse grafisch dar.</w:t>
      </w:r>
    </w:p>
    <w:p w:rsidR="003B2272" w:rsidRDefault="003B2272" w:rsidP="003B2272">
      <w:pPr>
        <w:pStyle w:val="Listenabsatz"/>
        <w:numPr>
          <w:ilvl w:val="0"/>
          <w:numId w:val="6"/>
        </w:numPr>
        <w:spacing w:before="120" w:after="0" w:line="240" w:lineRule="auto"/>
        <w:ind w:left="714" w:hanging="357"/>
        <w:contextualSpacing w:val="0"/>
      </w:pPr>
      <w:r>
        <w:t>Beurteile die Güte dieses einfachen Modells, indem du kritisch die Effekte und Einflüsse auf die Erdtemperatur aufführst, die mit diesem Modell nicht berücksichtigt wurden.</w:t>
      </w:r>
    </w:p>
    <w:p w:rsidR="00BE0F1A" w:rsidRDefault="00BE0F1A" w:rsidP="00AF69A8">
      <w:pPr>
        <w:pStyle w:val="Listenabsatz"/>
        <w:numPr>
          <w:ilvl w:val="0"/>
          <w:numId w:val="6"/>
        </w:numPr>
        <w:spacing w:before="120" w:after="0" w:line="240" w:lineRule="auto"/>
        <w:ind w:left="714" w:hanging="357"/>
        <w:contextualSpacing w:val="0"/>
      </w:pPr>
      <w:r>
        <w:t xml:space="preserve">Öffne die Seite </w:t>
      </w:r>
      <w:r w:rsidR="004D2885">
        <w:t>„</w:t>
      </w:r>
      <w:hyperlink r:id="rId11" w:history="1">
        <w:r w:rsidRPr="004D2885">
          <w:rPr>
            <w:rStyle w:val="Hyperlink"/>
          </w:rPr>
          <w:t>http://www.chf.de/eduthek/Treibhauseffekt/Treibhauseffekt.swf</w:t>
        </w:r>
      </w:hyperlink>
      <w:r w:rsidR="004D2885" w:rsidRPr="004D2885">
        <w:rPr>
          <w:rStyle w:val="Hyperlink"/>
        </w:rPr>
        <w:t>“</w:t>
      </w:r>
      <w:r w:rsidR="004D2885">
        <w:t xml:space="preserve"> </w:t>
      </w:r>
      <w:r>
        <w:t xml:space="preserve"> </w:t>
      </w:r>
      <w:r>
        <w:br/>
      </w:r>
      <w:r w:rsidR="004D2885">
        <w:t>H</w:t>
      </w:r>
      <w:r>
        <w:t>ier findest du den Effekt in einem Modellexperiment.</w:t>
      </w:r>
    </w:p>
    <w:p w:rsidR="00AF69A8" w:rsidRDefault="00AF69A8" w:rsidP="00AF69A8">
      <w:pPr>
        <w:pStyle w:val="Listenabsatz"/>
        <w:spacing w:after="0" w:line="240" w:lineRule="auto"/>
      </w:pPr>
    </w:p>
    <w:p w:rsidR="00501A3F" w:rsidRDefault="00501A3F" w:rsidP="00501A3F">
      <w:pPr>
        <w:spacing w:after="0" w:line="240" w:lineRule="auto"/>
      </w:pPr>
    </w:p>
    <w:p w:rsidR="007B3DB3" w:rsidRDefault="007B3DB3" w:rsidP="00501A3F">
      <w:pPr>
        <w:spacing w:after="0" w:line="240" w:lineRule="auto"/>
      </w:pPr>
    </w:p>
    <w:p w:rsidR="00E92231" w:rsidRDefault="00E92231" w:rsidP="003C3C87">
      <w:pPr>
        <w:spacing w:after="0" w:line="240" w:lineRule="auto"/>
        <w:ind w:left="360"/>
      </w:pPr>
    </w:p>
    <w:p w:rsidR="005A2BA9" w:rsidRDefault="005A2BA9">
      <w:pPr>
        <w:pStyle w:val="Listenabsatz"/>
        <w:spacing w:after="0" w:line="240" w:lineRule="auto"/>
      </w:pPr>
    </w:p>
    <w:p w:rsidR="00BA0EB0" w:rsidRDefault="00BA0EB0">
      <w:pPr>
        <w:pStyle w:val="Listenabsatz"/>
        <w:spacing w:after="0" w:line="240" w:lineRule="auto"/>
      </w:pPr>
    </w:p>
    <w:p w:rsidR="00BA0EB0" w:rsidRDefault="00BA0EB0">
      <w:pPr>
        <w:pStyle w:val="Listenabsatz"/>
        <w:spacing w:after="0" w:line="240" w:lineRule="auto"/>
      </w:pPr>
    </w:p>
    <w:p w:rsidR="00BA0EB0" w:rsidRDefault="00BA0EB0">
      <w:pPr>
        <w:pStyle w:val="Listenabsatz"/>
        <w:spacing w:after="0" w:line="240" w:lineRule="auto"/>
      </w:pPr>
    </w:p>
    <w:p w:rsidR="00BA0EB0" w:rsidRDefault="00BA0EB0">
      <w:pPr>
        <w:pStyle w:val="Listenabsatz"/>
        <w:spacing w:after="0" w:line="240" w:lineRule="auto"/>
      </w:pPr>
    </w:p>
    <w:p w:rsidR="00BA0EB0" w:rsidRDefault="00BA0EB0">
      <w:pPr>
        <w:pStyle w:val="Listenabsatz"/>
        <w:spacing w:after="0" w:line="240" w:lineRule="auto"/>
      </w:pPr>
    </w:p>
    <w:p w:rsidR="00BA0EB0" w:rsidRDefault="00BA0EB0">
      <w:pPr>
        <w:pStyle w:val="Listenabsatz"/>
        <w:spacing w:after="0" w:line="240" w:lineRule="auto"/>
      </w:pPr>
    </w:p>
    <w:p w:rsidR="00BA0EB0" w:rsidRDefault="00BA0EB0">
      <w:pPr>
        <w:pStyle w:val="Listenabsatz"/>
        <w:spacing w:after="0" w:line="240" w:lineRule="auto"/>
      </w:pPr>
    </w:p>
    <w:p w:rsidR="00BA0EB0" w:rsidRDefault="00BA0EB0">
      <w:pPr>
        <w:pStyle w:val="Listenabsatz"/>
        <w:spacing w:after="0" w:line="240" w:lineRule="auto"/>
      </w:pPr>
    </w:p>
    <w:p w:rsidR="00510262" w:rsidRDefault="00416C40" w:rsidP="00510262">
      <w:pPr>
        <w:pStyle w:val="berschrift2"/>
        <w:spacing w:before="0" w:line="240" w:lineRule="auto"/>
      </w:pPr>
      <w:r>
        <w:rPr>
          <w:noProof/>
          <w:lang w:eastAsia="de-DE"/>
        </w:rPr>
        <w:lastRenderedPageBreak/>
        <w:drawing>
          <wp:anchor distT="0" distB="0" distL="114300" distR="114300" simplePos="0" relativeHeight="251661312" behindDoc="0" locked="0" layoutInCell="1" allowOverlap="1" wp14:anchorId="057589B5" wp14:editId="0930A8DE">
            <wp:simplePos x="0" y="0"/>
            <wp:positionH relativeFrom="column">
              <wp:posOffset>-4445</wp:posOffset>
            </wp:positionH>
            <wp:positionV relativeFrom="paragraph">
              <wp:posOffset>433705</wp:posOffset>
            </wp:positionV>
            <wp:extent cx="4714875" cy="2266950"/>
            <wp:effectExtent l="0" t="0" r="9525" b="19050"/>
            <wp:wrapTopAndBottom/>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510262">
        <w:t>Arbeitsblatt  – Treibhauseffekt – Ergebnisse</w:t>
      </w:r>
    </w:p>
    <w:p w:rsidR="00510262" w:rsidRPr="00510262" w:rsidRDefault="00416C40" w:rsidP="00510262">
      <w:r>
        <w:rPr>
          <w:noProof/>
          <w:lang w:eastAsia="de-DE"/>
        </w:rPr>
        <w:drawing>
          <wp:anchor distT="0" distB="0" distL="114300" distR="114300" simplePos="0" relativeHeight="251663360" behindDoc="0" locked="0" layoutInCell="1" allowOverlap="1" wp14:anchorId="1E5E6EB8" wp14:editId="27CA4D7B">
            <wp:simplePos x="0" y="0"/>
            <wp:positionH relativeFrom="column">
              <wp:posOffset>-4445</wp:posOffset>
            </wp:positionH>
            <wp:positionV relativeFrom="paragraph">
              <wp:posOffset>4888230</wp:posOffset>
            </wp:positionV>
            <wp:extent cx="4714875" cy="2524125"/>
            <wp:effectExtent l="0" t="0" r="9525" b="9525"/>
            <wp:wrapTopAndBottom/>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0B8823FA" wp14:editId="00D8F5E8">
            <wp:simplePos x="0" y="0"/>
            <wp:positionH relativeFrom="column">
              <wp:posOffset>-4445</wp:posOffset>
            </wp:positionH>
            <wp:positionV relativeFrom="paragraph">
              <wp:posOffset>2630805</wp:posOffset>
            </wp:positionV>
            <wp:extent cx="4714875" cy="2085975"/>
            <wp:effectExtent l="0" t="0" r="9525" b="9525"/>
            <wp:wrapTopAndBottom/>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510262" w:rsidRDefault="00E933DF" w:rsidP="00E933DF">
      <w:pPr>
        <w:pStyle w:val="Listenabsatz"/>
        <w:tabs>
          <w:tab w:val="left" w:pos="1134"/>
        </w:tabs>
        <w:spacing w:after="0" w:line="240" w:lineRule="auto"/>
        <w:ind w:left="1134" w:hanging="414"/>
      </w:pPr>
      <w:r>
        <w:t>6.</w:t>
      </w:r>
      <w:r>
        <w:tab/>
        <w:t xml:space="preserve">Durch die Erwärmung der Erde und damit auch der Ozeane gelangen Gase wie Kohlenstoffdioxid oder auch Wasserdampf in die Atmosphäre. Diese Stoffe wirken als Treibhausgase und verändern die Temperatur ebenfalls. </w:t>
      </w:r>
    </w:p>
    <w:p w:rsidR="00510262" w:rsidRDefault="00510262" w:rsidP="00510262">
      <w:pPr>
        <w:pStyle w:val="Listenabsatz"/>
        <w:spacing w:after="0" w:line="240" w:lineRule="auto"/>
      </w:pPr>
    </w:p>
    <w:sectPr w:rsidR="00510262">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32" w:rsidRDefault="00AC6C32" w:rsidP="007B3DB3">
      <w:pPr>
        <w:spacing w:after="0" w:line="240" w:lineRule="auto"/>
      </w:pPr>
      <w:r>
        <w:separator/>
      </w:r>
    </w:p>
  </w:endnote>
  <w:endnote w:type="continuationSeparator" w:id="0">
    <w:p w:rsidR="00AC6C32" w:rsidRDefault="00AC6C32" w:rsidP="007B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4565"/>
      <w:docPartObj>
        <w:docPartGallery w:val="Page Numbers (Bottom of Page)"/>
        <w:docPartUnique/>
      </w:docPartObj>
    </w:sdtPr>
    <w:sdtEndPr/>
    <w:sdtContent>
      <w:sdt>
        <w:sdtPr>
          <w:id w:val="860082579"/>
          <w:docPartObj>
            <w:docPartGallery w:val="Page Numbers (Top of Page)"/>
            <w:docPartUnique/>
          </w:docPartObj>
        </w:sdtPr>
        <w:sdtEndPr/>
        <w:sdtContent>
          <w:p w:rsidR="0028752C" w:rsidRDefault="0028752C" w:rsidP="00D354C4">
            <w:pPr>
              <w:pStyle w:val="Fuzeile"/>
            </w:pPr>
            <w:r>
              <w:t xml:space="preserve">Arbeitsblatt  – natürlicher Treibhauseffekt                                                                             Seite </w:t>
            </w:r>
            <w:r>
              <w:rPr>
                <w:b/>
                <w:bCs/>
                <w:sz w:val="24"/>
                <w:szCs w:val="24"/>
              </w:rPr>
              <w:fldChar w:fldCharType="begin"/>
            </w:r>
            <w:r>
              <w:rPr>
                <w:b/>
                <w:bCs/>
              </w:rPr>
              <w:instrText>PAGE</w:instrText>
            </w:r>
            <w:r>
              <w:rPr>
                <w:b/>
                <w:bCs/>
                <w:sz w:val="24"/>
                <w:szCs w:val="24"/>
              </w:rPr>
              <w:fldChar w:fldCharType="separate"/>
            </w:r>
            <w:r w:rsidR="008679B7">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679B7">
              <w:rPr>
                <w:b/>
                <w:bCs/>
                <w:noProof/>
              </w:rPr>
              <w:t>5</w:t>
            </w:r>
            <w:r>
              <w:rPr>
                <w:b/>
                <w:bCs/>
                <w:sz w:val="24"/>
                <w:szCs w:val="24"/>
              </w:rPr>
              <w:fldChar w:fldCharType="end"/>
            </w:r>
          </w:p>
        </w:sdtContent>
      </w:sdt>
    </w:sdtContent>
  </w:sdt>
  <w:p w:rsidR="0028752C" w:rsidRDefault="002875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32" w:rsidRDefault="00AC6C32" w:rsidP="007B3DB3">
      <w:pPr>
        <w:spacing w:after="0" w:line="240" w:lineRule="auto"/>
      </w:pPr>
      <w:r>
        <w:separator/>
      </w:r>
    </w:p>
  </w:footnote>
  <w:footnote w:type="continuationSeparator" w:id="0">
    <w:p w:rsidR="00AC6C32" w:rsidRDefault="00AC6C32" w:rsidP="007B3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9B20F3"/>
    <w:multiLevelType w:val="hybridMultilevel"/>
    <w:tmpl w:val="6986C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253510"/>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B03C27"/>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6E5981"/>
    <w:multiLevelType w:val="hybridMultilevel"/>
    <w:tmpl w:val="C2D4D5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2"/>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3038"/>
    <w:rsid w:val="000461EE"/>
    <w:rsid w:val="00071B5E"/>
    <w:rsid w:val="00073202"/>
    <w:rsid w:val="00074313"/>
    <w:rsid w:val="000A1CA3"/>
    <w:rsid w:val="001B120D"/>
    <w:rsid w:val="002010D9"/>
    <w:rsid w:val="002662DC"/>
    <w:rsid w:val="00275E8A"/>
    <w:rsid w:val="0028752C"/>
    <w:rsid w:val="002D6CF0"/>
    <w:rsid w:val="00351BAB"/>
    <w:rsid w:val="00375DF8"/>
    <w:rsid w:val="003956B7"/>
    <w:rsid w:val="003B2272"/>
    <w:rsid w:val="003C3C87"/>
    <w:rsid w:val="004120FC"/>
    <w:rsid w:val="00416C40"/>
    <w:rsid w:val="00436133"/>
    <w:rsid w:val="004364DD"/>
    <w:rsid w:val="00450DCA"/>
    <w:rsid w:val="0045594B"/>
    <w:rsid w:val="004D0C50"/>
    <w:rsid w:val="004D2885"/>
    <w:rsid w:val="00501A3F"/>
    <w:rsid w:val="00510262"/>
    <w:rsid w:val="0056791B"/>
    <w:rsid w:val="00585132"/>
    <w:rsid w:val="00585212"/>
    <w:rsid w:val="005A2BA9"/>
    <w:rsid w:val="005B0D86"/>
    <w:rsid w:val="005C13FD"/>
    <w:rsid w:val="005C5D51"/>
    <w:rsid w:val="005D1B44"/>
    <w:rsid w:val="005D1D0D"/>
    <w:rsid w:val="006442D1"/>
    <w:rsid w:val="0068733D"/>
    <w:rsid w:val="006C521A"/>
    <w:rsid w:val="006D038F"/>
    <w:rsid w:val="00707E11"/>
    <w:rsid w:val="00750E1A"/>
    <w:rsid w:val="007A37F3"/>
    <w:rsid w:val="007B3DB3"/>
    <w:rsid w:val="00806C73"/>
    <w:rsid w:val="008679B7"/>
    <w:rsid w:val="008E33E4"/>
    <w:rsid w:val="008F0114"/>
    <w:rsid w:val="0092206C"/>
    <w:rsid w:val="00926833"/>
    <w:rsid w:val="00A25692"/>
    <w:rsid w:val="00AB4CDF"/>
    <w:rsid w:val="00AC6C32"/>
    <w:rsid w:val="00AF4865"/>
    <w:rsid w:val="00AF69A8"/>
    <w:rsid w:val="00B11EE5"/>
    <w:rsid w:val="00B667D4"/>
    <w:rsid w:val="00B81FFE"/>
    <w:rsid w:val="00B85B3D"/>
    <w:rsid w:val="00B965F4"/>
    <w:rsid w:val="00BA0EB0"/>
    <w:rsid w:val="00BC5A03"/>
    <w:rsid w:val="00BE0F1A"/>
    <w:rsid w:val="00BF1D7B"/>
    <w:rsid w:val="00BF33D0"/>
    <w:rsid w:val="00C21F0F"/>
    <w:rsid w:val="00C43C0D"/>
    <w:rsid w:val="00CA4883"/>
    <w:rsid w:val="00CA6662"/>
    <w:rsid w:val="00D1520D"/>
    <w:rsid w:val="00D17392"/>
    <w:rsid w:val="00D23AC9"/>
    <w:rsid w:val="00D24767"/>
    <w:rsid w:val="00D354C4"/>
    <w:rsid w:val="00D829CB"/>
    <w:rsid w:val="00D872F5"/>
    <w:rsid w:val="00D96F28"/>
    <w:rsid w:val="00DC68F5"/>
    <w:rsid w:val="00DE4FBC"/>
    <w:rsid w:val="00DF1EC5"/>
    <w:rsid w:val="00DF2B2F"/>
    <w:rsid w:val="00E03F82"/>
    <w:rsid w:val="00E53564"/>
    <w:rsid w:val="00E5603B"/>
    <w:rsid w:val="00E5671F"/>
    <w:rsid w:val="00E6684B"/>
    <w:rsid w:val="00E82E12"/>
    <w:rsid w:val="00E92231"/>
    <w:rsid w:val="00E933DF"/>
    <w:rsid w:val="00E975AA"/>
    <w:rsid w:val="00EB0D4E"/>
    <w:rsid w:val="00EC3E3A"/>
    <w:rsid w:val="00F36CDA"/>
    <w:rsid w:val="00F40806"/>
    <w:rsid w:val="00F45A39"/>
    <w:rsid w:val="00F52FE1"/>
    <w:rsid w:val="00F96FC2"/>
    <w:rsid w:val="00FA7F8D"/>
    <w:rsid w:val="00FB1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B3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DB3"/>
  </w:style>
  <w:style w:type="paragraph" w:styleId="Fuzeile">
    <w:name w:val="footer"/>
    <w:basedOn w:val="Standard"/>
    <w:link w:val="FuzeileZchn"/>
    <w:uiPriority w:val="99"/>
    <w:unhideWhenUsed/>
    <w:rsid w:val="007B3D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B3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DB3"/>
  </w:style>
  <w:style w:type="paragraph" w:styleId="Fuzeile">
    <w:name w:val="footer"/>
    <w:basedOn w:val="Standard"/>
    <w:link w:val="FuzeileZchn"/>
    <w:uiPriority w:val="99"/>
    <w:unhideWhenUsed/>
    <w:rsid w:val="007B3D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f.de/eduthek/Treibhauseffekt/Treibhauseffekt.sw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G:\Schule\Physik16\Ph9e_16\Treibhauseffekt\Arbeitsb&#246;gen\Tats&#228;chlich%20benutzte%20AB\Modell_Treibhaus_1_Sch.xls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L:\Fachberater\ZPG\ZPG_V\Arbeitsb&#246;gen_ganz_neu\Modell_Treibhaus_Ergebnisse_ne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Fachberater\ZPG\ZPG_V\Arbeitsb&#246;gen_ganz_neu\Modell_Treibhaus_Ergebnisse_ne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Fachberater\ZPG\ZPG_V\Arbeitsb&#246;gen_ganz_neu\Modell_Treibhaus_Ergebnisse_n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100"/>
              <a:t>Lichtabsorption 0%, IR-Absorption 0%</a:t>
            </a:r>
          </a:p>
        </c:rich>
      </c:tx>
      <c:overlay val="0"/>
    </c:title>
    <c:autoTitleDeleted val="0"/>
    <c:plotArea>
      <c:layout/>
      <c:scatterChart>
        <c:scatterStyle val="lineMarker"/>
        <c:varyColors val="0"/>
        <c:ser>
          <c:idx val="0"/>
          <c:order val="0"/>
          <c:tx>
            <c:strRef>
              <c:f>Tabelle1!$B$7</c:f>
              <c:strCache>
                <c:ptCount val="1"/>
                <c:pt idx="0">
                  <c:v>Temp in 0C</c:v>
                </c:pt>
              </c:strCache>
            </c:strRef>
          </c:tx>
          <c:spPr>
            <a:ln w="28575">
              <a:solidFill>
                <a:schemeClr val="accent1"/>
              </a:solidFill>
            </a:ln>
          </c:spPr>
          <c:xVal>
            <c:numRef>
              <c:f>Tabelle1!$A$8:$A$25</c:f>
              <c:numCache>
                <c:formatCode>General</c:formatCode>
                <c:ptCount val="18"/>
                <c:pt idx="0">
                  <c:v>0</c:v>
                </c:pt>
                <c:pt idx="1">
                  <c:v>5</c:v>
                </c:pt>
                <c:pt idx="2">
                  <c:v>10</c:v>
                </c:pt>
                <c:pt idx="3">
                  <c:v>15</c:v>
                </c:pt>
                <c:pt idx="4">
                  <c:v>20</c:v>
                </c:pt>
                <c:pt idx="5">
                  <c:v>25</c:v>
                </c:pt>
                <c:pt idx="6">
                  <c:v>30</c:v>
                </c:pt>
                <c:pt idx="7">
                  <c:v>40</c:v>
                </c:pt>
                <c:pt idx="8">
                  <c:v>50</c:v>
                </c:pt>
                <c:pt idx="9">
                  <c:v>60</c:v>
                </c:pt>
                <c:pt idx="10">
                  <c:v>70</c:v>
                </c:pt>
                <c:pt idx="11">
                  <c:v>80</c:v>
                </c:pt>
                <c:pt idx="12">
                  <c:v>90</c:v>
                </c:pt>
                <c:pt idx="13">
                  <c:v>100</c:v>
                </c:pt>
              </c:numCache>
            </c:numRef>
          </c:xVal>
          <c:yVal>
            <c:numRef>
              <c:f>Tabelle1!$B$8:$B$25</c:f>
              <c:numCache>
                <c:formatCode>0.0</c:formatCode>
                <c:ptCount val="18"/>
                <c:pt idx="0">
                  <c:v>5.68</c:v>
                </c:pt>
                <c:pt idx="1">
                  <c:v>2.13</c:v>
                </c:pt>
                <c:pt idx="2">
                  <c:v>-1.56</c:v>
                </c:pt>
                <c:pt idx="3">
                  <c:v>-5.41</c:v>
                </c:pt>
                <c:pt idx="4">
                  <c:v>-9.44</c:v>
                </c:pt>
                <c:pt idx="5">
                  <c:v>-13.66</c:v>
                </c:pt>
                <c:pt idx="6">
                  <c:v>-18.09</c:v>
                </c:pt>
                <c:pt idx="7">
                  <c:v>-27.2</c:v>
                </c:pt>
                <c:pt idx="8">
                  <c:v>-38.700000000000003</c:v>
                </c:pt>
                <c:pt idx="9">
                  <c:v>-51.4</c:v>
                </c:pt>
                <c:pt idx="10">
                  <c:v>-66.8</c:v>
                </c:pt>
                <c:pt idx="11">
                  <c:v>-86.6</c:v>
                </c:pt>
                <c:pt idx="12">
                  <c:v>-116.3</c:v>
                </c:pt>
                <c:pt idx="13">
                  <c:v>-273</c:v>
                </c:pt>
              </c:numCache>
            </c:numRef>
          </c:yVal>
          <c:smooth val="0"/>
        </c:ser>
        <c:dLbls>
          <c:showLegendKey val="0"/>
          <c:showVal val="0"/>
          <c:showCatName val="0"/>
          <c:showSerName val="0"/>
          <c:showPercent val="0"/>
          <c:showBubbleSize val="0"/>
        </c:dLbls>
        <c:axId val="193317888"/>
        <c:axId val="194798720"/>
      </c:scatterChart>
      <c:valAx>
        <c:axId val="193317888"/>
        <c:scaling>
          <c:orientation val="minMax"/>
          <c:max val="100"/>
          <c:min val="0"/>
        </c:scaling>
        <c:delete val="0"/>
        <c:axPos val="b"/>
        <c:title>
          <c:tx>
            <c:rich>
              <a:bodyPr/>
              <a:lstStyle/>
              <a:p>
                <a:pPr>
                  <a:defRPr sz="1100"/>
                </a:pPr>
                <a:r>
                  <a:rPr lang="en-US" sz="1100"/>
                  <a:t>Reflektierter Anteil in %</a:t>
                </a:r>
              </a:p>
            </c:rich>
          </c:tx>
          <c:overlay val="0"/>
        </c:title>
        <c:numFmt formatCode="General" sourceLinked="1"/>
        <c:majorTickMark val="out"/>
        <c:minorTickMark val="out"/>
        <c:tickLblPos val="nextTo"/>
        <c:spPr>
          <a:ln w="19050">
            <a:solidFill>
              <a:schemeClr val="tx1"/>
            </a:solidFill>
            <a:tailEnd type="triangle"/>
          </a:ln>
        </c:spPr>
        <c:txPr>
          <a:bodyPr/>
          <a:lstStyle/>
          <a:p>
            <a:pPr>
              <a:defRPr sz="1200"/>
            </a:pPr>
            <a:endParaRPr lang="de-DE"/>
          </a:p>
        </c:txPr>
        <c:crossAx val="194798720"/>
        <c:crosses val="autoZero"/>
        <c:crossBetween val="midCat"/>
        <c:majorUnit val="10"/>
        <c:minorUnit val="10"/>
      </c:valAx>
      <c:valAx>
        <c:axId val="194798720"/>
        <c:scaling>
          <c:orientation val="minMax"/>
          <c:max val="20"/>
          <c:min val="-280"/>
        </c:scaling>
        <c:delete val="0"/>
        <c:axPos val="l"/>
        <c:majorGridlines/>
        <c:title>
          <c:tx>
            <c:rich>
              <a:bodyPr rot="-5400000" vert="horz"/>
              <a:lstStyle/>
              <a:p>
                <a:pPr>
                  <a:defRPr sz="1050"/>
                </a:pPr>
                <a:r>
                  <a:rPr lang="en-US" sz="1050"/>
                  <a:t>Temperatur in </a:t>
                </a:r>
                <a:r>
                  <a:rPr lang="en-US" sz="1050" baseline="30000"/>
                  <a:t>0</a:t>
                </a:r>
                <a:r>
                  <a:rPr lang="en-US" sz="1050"/>
                  <a:t>C</a:t>
                </a:r>
              </a:p>
            </c:rich>
          </c:tx>
          <c:layout>
            <c:manualLayout>
              <c:xMode val="edge"/>
              <c:yMode val="edge"/>
              <c:x val="2.6780561520719004E-2"/>
              <c:y val="0.3418470449814463"/>
            </c:manualLayout>
          </c:layout>
          <c:overlay val="0"/>
        </c:title>
        <c:numFmt formatCode="0" sourceLinked="0"/>
        <c:majorTickMark val="out"/>
        <c:minorTickMark val="out"/>
        <c:tickLblPos val="nextTo"/>
        <c:spPr>
          <a:ln w="19050">
            <a:solidFill>
              <a:schemeClr val="tx1"/>
            </a:solidFill>
            <a:tailEnd type="triangle" w="lg" len="med"/>
          </a:ln>
        </c:spPr>
        <c:txPr>
          <a:bodyPr/>
          <a:lstStyle/>
          <a:p>
            <a:pPr>
              <a:defRPr sz="1050"/>
            </a:pPr>
            <a:endParaRPr lang="de-DE"/>
          </a:p>
        </c:txPr>
        <c:crossAx val="193317888"/>
        <c:crosses val="autoZero"/>
        <c:crossBetween val="midCat"/>
        <c:majorUnit val="50"/>
        <c:minorUnit val="2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Reflektierter Anteil 30%, Licht-Absorption 20%</a:t>
            </a:r>
          </a:p>
        </c:rich>
      </c:tx>
      <c:layout>
        <c:manualLayout>
          <c:xMode val="edge"/>
          <c:yMode val="edge"/>
          <c:x val="0.22273917421953676"/>
          <c:y val="2.6468155500413565E-2"/>
        </c:manualLayout>
      </c:layout>
      <c:overlay val="0"/>
    </c:title>
    <c:autoTitleDeleted val="0"/>
    <c:plotArea>
      <c:layout/>
      <c:scatterChart>
        <c:scatterStyle val="lineMarker"/>
        <c:varyColors val="0"/>
        <c:ser>
          <c:idx val="0"/>
          <c:order val="0"/>
          <c:tx>
            <c:strRef>
              <c:f>Tabelle1!$H$7</c:f>
              <c:strCache>
                <c:ptCount val="1"/>
                <c:pt idx="0">
                  <c:v>Temp in 0C</c:v>
                </c:pt>
              </c:strCache>
            </c:strRef>
          </c:tx>
          <c:spPr>
            <a:ln w="28575">
              <a:noFill/>
            </a:ln>
          </c:spPr>
          <c:trendline>
            <c:trendlineType val="poly"/>
            <c:order val="2"/>
            <c:dispRSqr val="0"/>
            <c:dispEq val="0"/>
          </c:trendline>
          <c:xVal>
            <c:numRef>
              <c:f>Tabelle1!$G$8:$G$17</c:f>
              <c:numCache>
                <c:formatCode>General</c:formatCode>
                <c:ptCount val="10"/>
                <c:pt idx="0">
                  <c:v>0</c:v>
                </c:pt>
                <c:pt idx="1">
                  <c:v>10</c:v>
                </c:pt>
                <c:pt idx="2">
                  <c:v>20</c:v>
                </c:pt>
                <c:pt idx="3">
                  <c:v>30</c:v>
                </c:pt>
                <c:pt idx="4">
                  <c:v>40</c:v>
                </c:pt>
                <c:pt idx="5">
                  <c:v>50</c:v>
                </c:pt>
                <c:pt idx="6">
                  <c:v>60</c:v>
                </c:pt>
                <c:pt idx="7">
                  <c:v>70</c:v>
                </c:pt>
                <c:pt idx="8">
                  <c:v>80</c:v>
                </c:pt>
                <c:pt idx="9">
                  <c:v>90</c:v>
                </c:pt>
              </c:numCache>
            </c:numRef>
          </c:xVal>
          <c:yVal>
            <c:numRef>
              <c:f>Tabelle1!$H$8:$H$17</c:f>
              <c:numCache>
                <c:formatCode>0.0</c:formatCode>
                <c:ptCount val="10"/>
                <c:pt idx="0">
                  <c:v>-27.8</c:v>
                </c:pt>
                <c:pt idx="1">
                  <c:v>-24.6</c:v>
                </c:pt>
                <c:pt idx="2">
                  <c:v>-21.2</c:v>
                </c:pt>
                <c:pt idx="3">
                  <c:v>-17.600000000000001</c:v>
                </c:pt>
                <c:pt idx="4">
                  <c:v>-13.7</c:v>
                </c:pt>
                <c:pt idx="5">
                  <c:v>-9.5</c:v>
                </c:pt>
                <c:pt idx="6">
                  <c:v>-4.9000000000000004</c:v>
                </c:pt>
                <c:pt idx="7">
                  <c:v>0.1</c:v>
                </c:pt>
                <c:pt idx="8">
                  <c:v>5.6</c:v>
                </c:pt>
                <c:pt idx="9">
                  <c:v>11.7</c:v>
                </c:pt>
              </c:numCache>
            </c:numRef>
          </c:yVal>
          <c:smooth val="0"/>
        </c:ser>
        <c:dLbls>
          <c:showLegendKey val="0"/>
          <c:showVal val="0"/>
          <c:showCatName val="0"/>
          <c:showSerName val="0"/>
          <c:showPercent val="0"/>
          <c:showBubbleSize val="0"/>
        </c:dLbls>
        <c:axId val="194824064"/>
        <c:axId val="194826240"/>
      </c:scatterChart>
      <c:valAx>
        <c:axId val="194824064"/>
        <c:scaling>
          <c:orientation val="minMax"/>
          <c:max val="90"/>
          <c:min val="0"/>
        </c:scaling>
        <c:delete val="0"/>
        <c:axPos val="b"/>
        <c:title>
          <c:tx>
            <c:rich>
              <a:bodyPr/>
              <a:lstStyle/>
              <a:p>
                <a:pPr>
                  <a:defRPr sz="1200"/>
                </a:pPr>
                <a:r>
                  <a:rPr lang="en-US" sz="1200"/>
                  <a:t>IR-Absorption in %</a:t>
                </a:r>
              </a:p>
            </c:rich>
          </c:tx>
          <c:overlay val="0"/>
        </c:title>
        <c:numFmt formatCode="General" sourceLinked="1"/>
        <c:majorTickMark val="out"/>
        <c:minorTickMark val="none"/>
        <c:tickLblPos val="nextTo"/>
        <c:spPr>
          <a:ln w="15875">
            <a:solidFill>
              <a:schemeClr val="tx1"/>
            </a:solidFill>
            <a:tailEnd type="triangle" w="lg" len="med"/>
          </a:ln>
        </c:spPr>
        <c:txPr>
          <a:bodyPr/>
          <a:lstStyle/>
          <a:p>
            <a:pPr>
              <a:defRPr sz="1200"/>
            </a:pPr>
            <a:endParaRPr lang="de-DE"/>
          </a:p>
        </c:txPr>
        <c:crossAx val="194826240"/>
        <c:crosses val="autoZero"/>
        <c:crossBetween val="midCat"/>
        <c:majorUnit val="10"/>
        <c:minorUnit val="5"/>
      </c:valAx>
      <c:valAx>
        <c:axId val="194826240"/>
        <c:scaling>
          <c:orientation val="minMax"/>
          <c:max val="25"/>
          <c:min val="-35"/>
        </c:scaling>
        <c:delete val="0"/>
        <c:axPos val="l"/>
        <c:majorGridlines/>
        <c:title>
          <c:tx>
            <c:rich>
              <a:bodyPr rot="-5400000" vert="horz"/>
              <a:lstStyle/>
              <a:p>
                <a:pPr>
                  <a:defRPr sz="1050"/>
                </a:pPr>
                <a:r>
                  <a:rPr lang="en-US" sz="1050"/>
                  <a:t>Temperatur in </a:t>
                </a:r>
                <a:r>
                  <a:rPr lang="en-US" sz="1050" baseline="30000"/>
                  <a:t>0</a:t>
                </a:r>
                <a:r>
                  <a:rPr lang="en-US" sz="1050"/>
                  <a:t>C</a:t>
                </a:r>
              </a:p>
            </c:rich>
          </c:tx>
          <c:layout>
            <c:manualLayout>
              <c:xMode val="edge"/>
              <c:yMode val="edge"/>
              <c:x val="2.044423234974416E-2"/>
              <c:y val="0.31548952607339176"/>
            </c:manualLayout>
          </c:layout>
          <c:overlay val="0"/>
        </c:title>
        <c:numFmt formatCode="0" sourceLinked="0"/>
        <c:majorTickMark val="out"/>
        <c:minorTickMark val="none"/>
        <c:tickLblPos val="nextTo"/>
        <c:txPr>
          <a:bodyPr/>
          <a:lstStyle/>
          <a:p>
            <a:pPr>
              <a:defRPr sz="1200"/>
            </a:pPr>
            <a:endParaRPr lang="de-DE"/>
          </a:p>
        </c:txPr>
        <c:crossAx val="194824064"/>
        <c:crosses val="autoZero"/>
        <c:crossBetween val="midCat"/>
        <c:majorUnit val="1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Reflektierter Anteil 30%, IR-Absorption 0%</a:t>
            </a:r>
          </a:p>
        </c:rich>
      </c:tx>
      <c:overlay val="0"/>
    </c:title>
    <c:autoTitleDeleted val="0"/>
    <c:plotArea>
      <c:layout/>
      <c:scatterChart>
        <c:scatterStyle val="lineMarker"/>
        <c:varyColors val="0"/>
        <c:ser>
          <c:idx val="0"/>
          <c:order val="0"/>
          <c:tx>
            <c:strRef>
              <c:f>Tabelle1!$E$7</c:f>
              <c:strCache>
                <c:ptCount val="1"/>
                <c:pt idx="0">
                  <c:v>Temp in 0C</c:v>
                </c:pt>
              </c:strCache>
            </c:strRef>
          </c:tx>
          <c:spPr>
            <a:ln w="28575">
              <a:noFill/>
            </a:ln>
          </c:spPr>
          <c:trendline>
            <c:trendlineType val="poly"/>
            <c:order val="2"/>
            <c:dispRSqr val="0"/>
            <c:dispEq val="0"/>
          </c:trendline>
          <c:xVal>
            <c:numRef>
              <c:f>Tabelle1!$D$8:$D$19</c:f>
              <c:numCache>
                <c:formatCode>General</c:formatCode>
                <c:ptCount val="12"/>
                <c:pt idx="0">
                  <c:v>0</c:v>
                </c:pt>
                <c:pt idx="1">
                  <c:v>5</c:v>
                </c:pt>
                <c:pt idx="2">
                  <c:v>10</c:v>
                </c:pt>
                <c:pt idx="3">
                  <c:v>15</c:v>
                </c:pt>
                <c:pt idx="4">
                  <c:v>20</c:v>
                </c:pt>
                <c:pt idx="5">
                  <c:v>25</c:v>
                </c:pt>
                <c:pt idx="6">
                  <c:v>30</c:v>
                </c:pt>
                <c:pt idx="7">
                  <c:v>35</c:v>
                </c:pt>
                <c:pt idx="8">
                  <c:v>40</c:v>
                </c:pt>
                <c:pt idx="9">
                  <c:v>50</c:v>
                </c:pt>
                <c:pt idx="10">
                  <c:v>60</c:v>
                </c:pt>
                <c:pt idx="11">
                  <c:v>70</c:v>
                </c:pt>
              </c:numCache>
            </c:numRef>
          </c:xVal>
          <c:yVal>
            <c:numRef>
              <c:f>Tabelle1!$E$8:$E$19</c:f>
              <c:numCache>
                <c:formatCode>0.0</c:formatCode>
                <c:ptCount val="12"/>
                <c:pt idx="0">
                  <c:v>-18.100000000000001</c:v>
                </c:pt>
                <c:pt idx="1">
                  <c:v>-20.399999999999999</c:v>
                </c:pt>
                <c:pt idx="2">
                  <c:v>-22.8</c:v>
                </c:pt>
                <c:pt idx="3">
                  <c:v>-25.3</c:v>
                </c:pt>
                <c:pt idx="4">
                  <c:v>-27.8</c:v>
                </c:pt>
                <c:pt idx="5">
                  <c:v>-30.3</c:v>
                </c:pt>
                <c:pt idx="6">
                  <c:v>-32.9</c:v>
                </c:pt>
                <c:pt idx="7">
                  <c:v>-35.700000000000003</c:v>
                </c:pt>
                <c:pt idx="8">
                  <c:v>-38.6</c:v>
                </c:pt>
                <c:pt idx="9">
                  <c:v>-44.7</c:v>
                </c:pt>
                <c:pt idx="10">
                  <c:v>-51.4</c:v>
                </c:pt>
                <c:pt idx="11">
                  <c:v>-58.7</c:v>
                </c:pt>
              </c:numCache>
            </c:numRef>
          </c:yVal>
          <c:smooth val="0"/>
        </c:ser>
        <c:dLbls>
          <c:showLegendKey val="0"/>
          <c:showVal val="0"/>
          <c:showCatName val="0"/>
          <c:showSerName val="0"/>
          <c:showPercent val="0"/>
          <c:showBubbleSize val="0"/>
        </c:dLbls>
        <c:axId val="194974464"/>
        <c:axId val="194976384"/>
      </c:scatterChart>
      <c:valAx>
        <c:axId val="194974464"/>
        <c:scaling>
          <c:orientation val="minMax"/>
        </c:scaling>
        <c:delete val="0"/>
        <c:axPos val="b"/>
        <c:title>
          <c:tx>
            <c:rich>
              <a:bodyPr/>
              <a:lstStyle/>
              <a:p>
                <a:pPr>
                  <a:defRPr sz="1100"/>
                </a:pPr>
                <a:r>
                  <a:rPr lang="en-US" sz="1100"/>
                  <a:t>Absorption Sonnenstrahlung in %</a:t>
                </a:r>
              </a:p>
            </c:rich>
          </c:tx>
          <c:overlay val="0"/>
        </c:title>
        <c:numFmt formatCode="General" sourceLinked="1"/>
        <c:majorTickMark val="out"/>
        <c:minorTickMark val="none"/>
        <c:tickLblPos val="nextTo"/>
        <c:spPr>
          <a:ln w="19050">
            <a:solidFill>
              <a:schemeClr val="tx1"/>
            </a:solidFill>
            <a:tailEnd type="triangle"/>
          </a:ln>
        </c:spPr>
        <c:txPr>
          <a:bodyPr/>
          <a:lstStyle/>
          <a:p>
            <a:pPr>
              <a:defRPr sz="1200"/>
            </a:pPr>
            <a:endParaRPr lang="de-DE"/>
          </a:p>
        </c:txPr>
        <c:crossAx val="194976384"/>
        <c:crosses val="autoZero"/>
        <c:crossBetween val="midCat"/>
        <c:majorUnit val="10"/>
      </c:valAx>
      <c:valAx>
        <c:axId val="194976384"/>
        <c:scaling>
          <c:orientation val="minMax"/>
          <c:max val="0"/>
        </c:scaling>
        <c:delete val="0"/>
        <c:axPos val="l"/>
        <c:majorGridlines/>
        <c:title>
          <c:tx>
            <c:rich>
              <a:bodyPr rot="-5400000" vert="horz"/>
              <a:lstStyle/>
              <a:p>
                <a:pPr>
                  <a:defRPr sz="1050"/>
                </a:pPr>
                <a:r>
                  <a:rPr lang="en-US" sz="1050"/>
                  <a:t>Temperatur in </a:t>
                </a:r>
                <a:r>
                  <a:rPr lang="en-US" sz="1050" baseline="30000"/>
                  <a:t>0</a:t>
                </a:r>
                <a:r>
                  <a:rPr lang="en-US" sz="1050"/>
                  <a:t>C</a:t>
                </a:r>
              </a:p>
            </c:rich>
          </c:tx>
          <c:layout>
            <c:manualLayout>
              <c:xMode val="edge"/>
              <c:yMode val="edge"/>
              <c:x val="2.2988520374347149E-2"/>
              <c:y val="0.33144081579966445"/>
            </c:manualLayout>
          </c:layout>
          <c:overlay val="0"/>
        </c:title>
        <c:numFmt formatCode="0" sourceLinked="0"/>
        <c:majorTickMark val="out"/>
        <c:minorTickMark val="none"/>
        <c:tickLblPos val="nextTo"/>
        <c:txPr>
          <a:bodyPr/>
          <a:lstStyle/>
          <a:p>
            <a:pPr>
              <a:defRPr sz="1050"/>
            </a:pPr>
            <a:endParaRPr lang="de-DE"/>
          </a:p>
        </c:txPr>
        <c:crossAx val="194974464"/>
        <c:crosses val="autoZero"/>
        <c:crossBetween val="midCat"/>
        <c:majorUnit val="20"/>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Hector-Seminar</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Piffer</cp:lastModifiedBy>
  <cp:revision>3</cp:revision>
  <cp:lastPrinted>2017-04-07T07:21:00Z</cp:lastPrinted>
  <dcterms:created xsi:type="dcterms:W3CDTF">2017-10-13T15:22:00Z</dcterms:created>
  <dcterms:modified xsi:type="dcterms:W3CDTF">2017-10-13T17:24:00Z</dcterms:modified>
</cp:coreProperties>
</file>