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3"/>
        <w:gridCol w:w="4603"/>
      </w:tblGrid>
      <w:tr w:rsidR="00F827AD" w:rsidRPr="00F827AD" w:rsidTr="00F827AD">
        <w:tc>
          <w:tcPr>
            <w:tcW w:w="9206" w:type="dxa"/>
            <w:gridSpan w:val="2"/>
          </w:tcPr>
          <w:p w:rsidR="00A6689E" w:rsidRPr="00F827AD" w:rsidRDefault="00F827AD">
            <w:pPr>
              <w:rPr>
                <w:b/>
              </w:rPr>
            </w:pPr>
            <w:r w:rsidRPr="00F827AD">
              <w:rPr>
                <w:b/>
              </w:rPr>
              <w:t>Bildende Kunst</w:t>
            </w:r>
            <w:r w:rsidRPr="00F827AD">
              <w:rPr>
                <w:b/>
              </w:rPr>
              <w:tab/>
            </w:r>
            <w:r w:rsidRPr="00F827AD">
              <w:rPr>
                <w:b/>
              </w:rPr>
              <w:tab/>
            </w:r>
            <w:r w:rsidRPr="00F827AD">
              <w:rPr>
                <w:b/>
              </w:rPr>
              <w:tab/>
            </w:r>
            <w:r w:rsidRPr="00F827AD">
              <w:rPr>
                <w:b/>
              </w:rPr>
              <w:tab/>
            </w:r>
            <w:r w:rsidRPr="00F827AD">
              <w:rPr>
                <w:b/>
              </w:rPr>
              <w:tab/>
            </w:r>
            <w:r w:rsidRPr="00F827AD">
              <w:rPr>
                <w:b/>
              </w:rPr>
              <w:tab/>
            </w:r>
            <w:r w:rsidRPr="00F827AD">
              <w:rPr>
                <w:b/>
              </w:rPr>
              <w:tab/>
            </w:r>
            <w:r>
              <w:rPr>
                <w:b/>
              </w:rPr>
              <w:t xml:space="preserve">       </w:t>
            </w:r>
            <w:r w:rsidRPr="00F827AD">
              <w:rPr>
                <w:b/>
              </w:rPr>
              <w:t>Bildungsplan 2016</w:t>
            </w:r>
          </w:p>
        </w:tc>
      </w:tr>
      <w:tr w:rsidR="00F827AD" w:rsidTr="00F827AD">
        <w:tc>
          <w:tcPr>
            <w:tcW w:w="4603" w:type="dxa"/>
          </w:tcPr>
          <w:p w:rsidR="00A6689E" w:rsidRDefault="00F827AD" w:rsidP="00F827AD">
            <w:pPr>
              <w:rPr>
                <w:sz w:val="20"/>
                <w:szCs w:val="20"/>
              </w:rPr>
            </w:pPr>
            <w:r w:rsidRPr="00A6689E">
              <w:rPr>
                <w:sz w:val="20"/>
                <w:szCs w:val="20"/>
                <w:u w:val="single"/>
              </w:rPr>
              <w:t>Lehrer / Lehrerin</w:t>
            </w:r>
            <w:r w:rsidRPr="00F827AD">
              <w:rPr>
                <w:sz w:val="20"/>
                <w:szCs w:val="20"/>
              </w:rPr>
              <w:t>:</w:t>
            </w:r>
            <w:r w:rsidR="003D4CE2">
              <w:rPr>
                <w:sz w:val="20"/>
                <w:szCs w:val="20"/>
              </w:rPr>
              <w:t xml:space="preserve">  Preuß</w:t>
            </w:r>
            <w:r w:rsidRPr="00F827AD">
              <w:rPr>
                <w:sz w:val="20"/>
                <w:szCs w:val="20"/>
              </w:rPr>
              <w:tab/>
            </w:r>
          </w:p>
          <w:p w:rsidR="00A6689E" w:rsidRDefault="00A6689E" w:rsidP="00F827AD">
            <w:pPr>
              <w:rPr>
                <w:sz w:val="20"/>
                <w:szCs w:val="20"/>
              </w:rPr>
            </w:pPr>
          </w:p>
          <w:p w:rsidR="00F827AD" w:rsidRPr="00F827AD" w:rsidRDefault="00F827AD" w:rsidP="00F827AD">
            <w:pPr>
              <w:rPr>
                <w:sz w:val="20"/>
                <w:szCs w:val="20"/>
              </w:rPr>
            </w:pPr>
            <w:r w:rsidRPr="00F827AD">
              <w:rPr>
                <w:sz w:val="20"/>
                <w:szCs w:val="20"/>
              </w:rPr>
              <w:tab/>
            </w:r>
          </w:p>
        </w:tc>
        <w:tc>
          <w:tcPr>
            <w:tcW w:w="4603" w:type="dxa"/>
          </w:tcPr>
          <w:p w:rsidR="00F827AD" w:rsidRPr="00F827AD" w:rsidRDefault="00F827AD">
            <w:pPr>
              <w:rPr>
                <w:sz w:val="20"/>
                <w:szCs w:val="20"/>
              </w:rPr>
            </w:pPr>
            <w:r w:rsidRPr="00A6689E">
              <w:rPr>
                <w:sz w:val="20"/>
                <w:szCs w:val="20"/>
                <w:u w:val="single"/>
              </w:rPr>
              <w:t>Klasse</w:t>
            </w:r>
            <w:r w:rsidRPr="00F827AD">
              <w:rPr>
                <w:sz w:val="20"/>
                <w:szCs w:val="20"/>
              </w:rPr>
              <w:t>:</w:t>
            </w:r>
            <w:r w:rsidR="003D4CE2">
              <w:rPr>
                <w:sz w:val="20"/>
                <w:szCs w:val="20"/>
              </w:rPr>
              <w:t xml:space="preserve">  6/</w:t>
            </w:r>
            <w:r w:rsidR="003D4CE2" w:rsidRPr="006F6199">
              <w:rPr>
                <w:b/>
                <w:sz w:val="20"/>
                <w:szCs w:val="20"/>
              </w:rPr>
              <w:t>7</w:t>
            </w:r>
          </w:p>
          <w:p w:rsidR="00F827AD" w:rsidRPr="00F827AD" w:rsidRDefault="00F827AD">
            <w:pPr>
              <w:rPr>
                <w:sz w:val="20"/>
                <w:szCs w:val="20"/>
              </w:rPr>
            </w:pPr>
          </w:p>
        </w:tc>
      </w:tr>
      <w:tr w:rsidR="00F827AD" w:rsidTr="00F827AD">
        <w:tc>
          <w:tcPr>
            <w:tcW w:w="9206" w:type="dxa"/>
            <w:gridSpan w:val="2"/>
          </w:tcPr>
          <w:p w:rsidR="00F827AD" w:rsidRPr="00F827AD" w:rsidRDefault="00C66EA9" w:rsidP="00F827AD">
            <w:pPr>
              <w:rPr>
                <w:sz w:val="20"/>
                <w:szCs w:val="20"/>
              </w:rPr>
            </w:pPr>
            <w:r>
              <w:rPr>
                <w:sz w:val="20"/>
                <w:szCs w:val="20"/>
                <w:u w:val="single"/>
              </w:rPr>
              <w:t>Bild (Titel des Werks</w:t>
            </w:r>
            <w:r w:rsidR="00F827AD" w:rsidRPr="00A6689E">
              <w:rPr>
                <w:sz w:val="20"/>
                <w:szCs w:val="20"/>
                <w:u w:val="single"/>
              </w:rPr>
              <w:t>)</w:t>
            </w:r>
            <w:r w:rsidR="00F827AD" w:rsidRPr="00F827AD">
              <w:rPr>
                <w:sz w:val="20"/>
                <w:szCs w:val="20"/>
              </w:rPr>
              <w:t>:</w:t>
            </w:r>
          </w:p>
          <w:p w:rsidR="003D4CE2" w:rsidRDefault="003D4CE2">
            <w:pPr>
              <w:rPr>
                <w:sz w:val="20"/>
                <w:szCs w:val="20"/>
              </w:rPr>
            </w:pPr>
          </w:p>
          <w:p w:rsidR="00A6689E" w:rsidRPr="006F6199" w:rsidRDefault="00C66EA9">
            <w:pPr>
              <w:rPr>
                <w:b/>
                <w:sz w:val="20"/>
                <w:szCs w:val="20"/>
              </w:rPr>
            </w:pPr>
            <w:r w:rsidRPr="006F6199">
              <w:rPr>
                <w:b/>
                <w:sz w:val="20"/>
                <w:szCs w:val="20"/>
              </w:rPr>
              <w:t xml:space="preserve">Diego Velazquez </w:t>
            </w:r>
            <w:r w:rsidR="003D4CE2" w:rsidRPr="006F6199">
              <w:rPr>
                <w:b/>
                <w:sz w:val="20"/>
                <w:szCs w:val="20"/>
              </w:rPr>
              <w:t xml:space="preserve">„Die Hoffräulein (Las </w:t>
            </w:r>
            <w:proofErr w:type="spellStart"/>
            <w:r w:rsidR="003D4CE2" w:rsidRPr="006F6199">
              <w:rPr>
                <w:b/>
                <w:sz w:val="20"/>
                <w:szCs w:val="20"/>
              </w:rPr>
              <w:t>Meninas</w:t>
            </w:r>
            <w:proofErr w:type="spellEnd"/>
            <w:r w:rsidR="003D4CE2" w:rsidRPr="006F6199">
              <w:rPr>
                <w:b/>
                <w:sz w:val="20"/>
                <w:szCs w:val="20"/>
              </w:rPr>
              <w:t>)“</w:t>
            </w:r>
            <w:r w:rsidRPr="006F6199">
              <w:rPr>
                <w:b/>
                <w:sz w:val="20"/>
                <w:szCs w:val="20"/>
              </w:rPr>
              <w:t xml:space="preserve">  </w:t>
            </w:r>
          </w:p>
          <w:p w:rsidR="00A6689E" w:rsidRPr="006F6199" w:rsidRDefault="00A6689E">
            <w:pPr>
              <w:rPr>
                <w:b/>
                <w:sz w:val="20"/>
                <w:szCs w:val="20"/>
              </w:rPr>
            </w:pPr>
          </w:p>
          <w:p w:rsidR="00A6689E" w:rsidRPr="00F827AD"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Projekttitel / Thematik der Unterrichtseinheit</w:t>
            </w:r>
            <w:r w:rsidR="00A6689E">
              <w:rPr>
                <w:sz w:val="20"/>
                <w:szCs w:val="20"/>
              </w:rPr>
              <w:t>:</w:t>
            </w:r>
          </w:p>
          <w:p w:rsidR="00F827AD" w:rsidRDefault="00F827AD">
            <w:pPr>
              <w:rPr>
                <w:sz w:val="20"/>
                <w:szCs w:val="20"/>
              </w:rPr>
            </w:pPr>
          </w:p>
          <w:p w:rsidR="00A6689E" w:rsidRPr="006F6199" w:rsidRDefault="003D4CE2">
            <w:pPr>
              <w:rPr>
                <w:b/>
                <w:sz w:val="20"/>
                <w:szCs w:val="20"/>
              </w:rPr>
            </w:pPr>
            <w:r w:rsidRPr="006F6199">
              <w:rPr>
                <w:b/>
                <w:sz w:val="20"/>
                <w:szCs w:val="20"/>
              </w:rPr>
              <w:t>Bilder malen nach Bildern</w:t>
            </w:r>
          </w:p>
          <w:p w:rsidR="00A6689E" w:rsidRPr="006F6199" w:rsidRDefault="00A6689E">
            <w:pPr>
              <w:rPr>
                <w:b/>
                <w:sz w:val="20"/>
                <w:szCs w:val="20"/>
              </w:rPr>
            </w:pP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Methode</w:t>
            </w:r>
            <w:r w:rsidR="00A6689E">
              <w:rPr>
                <w:sz w:val="20"/>
                <w:szCs w:val="20"/>
              </w:rPr>
              <w:t>:</w:t>
            </w:r>
          </w:p>
          <w:p w:rsidR="00F827AD" w:rsidRDefault="00F827AD">
            <w:pPr>
              <w:rPr>
                <w:sz w:val="20"/>
                <w:szCs w:val="20"/>
              </w:rPr>
            </w:pPr>
          </w:p>
          <w:p w:rsidR="00A6689E" w:rsidRDefault="003D4CE2">
            <w:pPr>
              <w:rPr>
                <w:sz w:val="20"/>
                <w:szCs w:val="20"/>
              </w:rPr>
            </w:pPr>
            <w:r>
              <w:rPr>
                <w:sz w:val="20"/>
                <w:szCs w:val="20"/>
              </w:rPr>
              <w:t>Der Klasse wird eine Reproduktion des Gemäldes gezeigt mit der Aufforderung eine ganze Minute nur zu schauen, nicht zu sprechen und nicht zu zeichnen. Danach wird direkt mit dem Malen (mit bereit gestellten Pinseln und einer ausgewählten Farbpalette von Acrylfarben) begonnen.</w:t>
            </w:r>
          </w:p>
          <w:p w:rsidR="003D4CE2" w:rsidRDefault="003D4CE2">
            <w:pPr>
              <w:rPr>
                <w:sz w:val="20"/>
                <w:szCs w:val="20"/>
              </w:rPr>
            </w:pPr>
          </w:p>
          <w:p w:rsidR="003D4CE2" w:rsidRDefault="003D4CE2">
            <w:pPr>
              <w:rPr>
                <w:sz w:val="20"/>
                <w:szCs w:val="20"/>
              </w:rPr>
            </w:pPr>
            <w:r>
              <w:rPr>
                <w:sz w:val="20"/>
                <w:szCs w:val="20"/>
              </w:rPr>
              <w:t xml:space="preserve">Das konzentrierte Schauen fördert den bewussten Wahrnehmungsprozess, das direkt anschließende  Malen unterstützt eine nonverbale, nicht kognitive Umsetzung und </w:t>
            </w:r>
            <w:r w:rsidR="00B46473">
              <w:rPr>
                <w:sz w:val="20"/>
                <w:szCs w:val="20"/>
              </w:rPr>
              <w:t xml:space="preserve">zugleich eine persönliche </w:t>
            </w:r>
            <w:r>
              <w:rPr>
                <w:sz w:val="20"/>
                <w:szCs w:val="20"/>
              </w:rPr>
              <w:t>Interpretation des Gesehenen.</w:t>
            </w:r>
          </w:p>
          <w:p w:rsidR="003D4CE2" w:rsidRDefault="003D4CE2">
            <w:pPr>
              <w:rPr>
                <w:sz w:val="20"/>
                <w:szCs w:val="20"/>
              </w:rPr>
            </w:pPr>
          </w:p>
          <w:p w:rsidR="003D4CE2" w:rsidRDefault="003D4CE2">
            <w:pPr>
              <w:rPr>
                <w:sz w:val="20"/>
                <w:szCs w:val="20"/>
              </w:rPr>
            </w:pPr>
            <w:r>
              <w:rPr>
                <w:sz w:val="20"/>
                <w:szCs w:val="20"/>
              </w:rPr>
              <w:t xml:space="preserve">Im Vergleich der verschiedenen Ergebnisse ergeben sich vielfältige Anlässe, über visuelle Phänomene </w:t>
            </w:r>
            <w:r w:rsidR="00B46473">
              <w:rPr>
                <w:sz w:val="20"/>
                <w:szCs w:val="20"/>
              </w:rPr>
              <w:t xml:space="preserve">oder Gestaltungsmittel </w:t>
            </w:r>
            <w:r>
              <w:rPr>
                <w:sz w:val="20"/>
                <w:szCs w:val="20"/>
              </w:rPr>
              <w:t xml:space="preserve">des Kunstwerkes, aber auch </w:t>
            </w:r>
            <w:r w:rsidR="00B46473">
              <w:rPr>
                <w:sz w:val="20"/>
                <w:szCs w:val="20"/>
              </w:rPr>
              <w:t xml:space="preserve">über die </w:t>
            </w:r>
            <w:r>
              <w:rPr>
                <w:sz w:val="20"/>
                <w:szCs w:val="20"/>
              </w:rPr>
              <w:t>der selbst gemalten Bilder zu sprechen.</w:t>
            </w:r>
          </w:p>
          <w:p w:rsidR="003D4CE2" w:rsidRDefault="003D4CE2">
            <w:pPr>
              <w:rPr>
                <w:sz w:val="20"/>
                <w:szCs w:val="20"/>
              </w:rPr>
            </w:pPr>
          </w:p>
          <w:p w:rsidR="00B46473" w:rsidRDefault="00B46473">
            <w:pPr>
              <w:rPr>
                <w:sz w:val="20"/>
                <w:szCs w:val="20"/>
              </w:rPr>
            </w:pPr>
            <w:r>
              <w:rPr>
                <w:sz w:val="20"/>
                <w:szCs w:val="20"/>
              </w:rPr>
              <w:t xml:space="preserve">Durch den praktisch orientierten Zugriff ergibt sich in der Regel eine direkte und intensive Auseinandersetzung mit dem gegebenen Gemälde. Figuren, Details, räumliche Situationen, aber auch Komposition, Farbgebung, Farbauftrag werden in der eigenen Gestaltung bewusst oder unbewusst wahrgenommen und umgesetzt und </w:t>
            </w:r>
            <w:r w:rsidR="008516C2">
              <w:rPr>
                <w:sz w:val="20"/>
                <w:szCs w:val="20"/>
              </w:rPr>
              <w:t xml:space="preserve">können </w:t>
            </w:r>
            <w:r>
              <w:rPr>
                <w:sz w:val="20"/>
                <w:szCs w:val="20"/>
              </w:rPr>
              <w:t>im anschließenden Gespräch anschaulich reflektiert</w:t>
            </w:r>
            <w:r w:rsidR="008516C2">
              <w:rPr>
                <w:sz w:val="20"/>
                <w:szCs w:val="20"/>
              </w:rPr>
              <w:t xml:space="preserve"> werden</w:t>
            </w:r>
            <w:r>
              <w:rPr>
                <w:sz w:val="20"/>
                <w:szCs w:val="20"/>
              </w:rPr>
              <w:t>.</w:t>
            </w:r>
          </w:p>
          <w:p w:rsidR="00B46473" w:rsidRDefault="00B46473">
            <w:pPr>
              <w:rPr>
                <w:sz w:val="20"/>
                <w:szCs w:val="20"/>
              </w:rPr>
            </w:pPr>
          </w:p>
          <w:p w:rsidR="00A6689E" w:rsidRDefault="003D4CE2">
            <w:pPr>
              <w:rPr>
                <w:sz w:val="20"/>
                <w:szCs w:val="20"/>
              </w:rPr>
            </w:pPr>
            <w:r>
              <w:rPr>
                <w:sz w:val="20"/>
                <w:szCs w:val="20"/>
              </w:rPr>
              <w:t xml:space="preserve">Der </w:t>
            </w:r>
            <w:r w:rsidR="00B46473">
              <w:rPr>
                <w:sz w:val="20"/>
                <w:szCs w:val="20"/>
              </w:rPr>
              <w:t>einminütige Bild-</w:t>
            </w:r>
            <w:r>
              <w:rPr>
                <w:sz w:val="20"/>
                <w:szCs w:val="20"/>
              </w:rPr>
              <w:t xml:space="preserve">Wahrnehmungsvorgang kann bei Bedarf wiederholt oder nach einer Woche </w:t>
            </w:r>
            <w:r w:rsidR="00C66EA9">
              <w:rPr>
                <w:sz w:val="20"/>
                <w:szCs w:val="20"/>
              </w:rPr>
              <w:t>im Unterricht</w:t>
            </w:r>
            <w:r w:rsidR="00B46473">
              <w:rPr>
                <w:sz w:val="20"/>
                <w:szCs w:val="20"/>
              </w:rPr>
              <w:t xml:space="preserve"> vor dem Weitermalen </w:t>
            </w:r>
            <w:r>
              <w:rPr>
                <w:sz w:val="20"/>
                <w:szCs w:val="20"/>
              </w:rPr>
              <w:t>wieder aufgefrischt werden</w:t>
            </w:r>
            <w:bookmarkStart w:id="0" w:name="_GoBack"/>
            <w:bookmarkEnd w:id="0"/>
            <w:r w:rsidR="00B46473">
              <w:rPr>
                <w:sz w:val="20"/>
                <w:szCs w:val="20"/>
              </w:rPr>
              <w:t>.</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Pr="00A6689E" w:rsidRDefault="00A6689E" w:rsidP="00F827AD">
            <w:pPr>
              <w:rPr>
                <w:sz w:val="20"/>
                <w:szCs w:val="20"/>
              </w:rPr>
            </w:pPr>
            <w:r w:rsidRPr="00A6689E">
              <w:rPr>
                <w:sz w:val="20"/>
                <w:szCs w:val="20"/>
                <w:u w:val="single"/>
              </w:rPr>
              <w:t xml:space="preserve">Material / </w:t>
            </w:r>
            <w:r w:rsidR="00F827AD" w:rsidRPr="00A6689E">
              <w:rPr>
                <w:sz w:val="20"/>
                <w:szCs w:val="20"/>
                <w:u w:val="single"/>
              </w:rPr>
              <w:t>Technik</w:t>
            </w:r>
            <w:r>
              <w:rPr>
                <w:sz w:val="20"/>
                <w:szCs w:val="20"/>
              </w:rPr>
              <w:t>:</w:t>
            </w:r>
          </w:p>
          <w:p w:rsidR="00F827AD" w:rsidRDefault="00F827AD">
            <w:pPr>
              <w:rPr>
                <w:sz w:val="20"/>
                <w:szCs w:val="20"/>
              </w:rPr>
            </w:pPr>
          </w:p>
          <w:p w:rsidR="00A6689E" w:rsidRDefault="00B46473">
            <w:pPr>
              <w:rPr>
                <w:sz w:val="20"/>
                <w:szCs w:val="20"/>
              </w:rPr>
            </w:pPr>
            <w:r>
              <w:rPr>
                <w:sz w:val="20"/>
                <w:szCs w:val="20"/>
              </w:rPr>
              <w:t>Papier, Malpappe (ca. DinA2, dem Format des gewählten Kunstwerks entsprechend)</w:t>
            </w:r>
          </w:p>
          <w:p w:rsidR="00B46473" w:rsidRDefault="00B46473">
            <w:pPr>
              <w:rPr>
                <w:sz w:val="20"/>
                <w:szCs w:val="20"/>
              </w:rPr>
            </w:pPr>
            <w:r>
              <w:rPr>
                <w:sz w:val="20"/>
                <w:szCs w:val="20"/>
              </w:rPr>
              <w:t>Acrylfarben (evtl. in einer ausgewählten, dem Werk entsprechend eingeschränkten Farbpalette)</w:t>
            </w:r>
          </w:p>
          <w:p w:rsidR="00B46473" w:rsidRDefault="00B46473">
            <w:pPr>
              <w:rPr>
                <w:sz w:val="20"/>
                <w:szCs w:val="20"/>
              </w:rPr>
            </w:pPr>
            <w:r>
              <w:rPr>
                <w:sz w:val="20"/>
                <w:szCs w:val="20"/>
              </w:rPr>
              <w:t>Haar- und Borstenpinsel</w:t>
            </w:r>
          </w:p>
          <w:p w:rsidR="00B46473" w:rsidRDefault="00B46473">
            <w:pPr>
              <w:rPr>
                <w:sz w:val="20"/>
                <w:szCs w:val="20"/>
              </w:rPr>
            </w:pPr>
            <w:r>
              <w:rPr>
                <w:sz w:val="20"/>
                <w:szCs w:val="20"/>
              </w:rPr>
              <w:t>Reproduktion des Kunstwerks als Folie oder Beamerprojektion</w:t>
            </w:r>
          </w:p>
          <w:p w:rsidR="00A6689E" w:rsidRDefault="00A6689E">
            <w:pPr>
              <w:rPr>
                <w:sz w:val="20"/>
                <w:szCs w:val="20"/>
              </w:rPr>
            </w:pPr>
          </w:p>
          <w:p w:rsidR="00B46473" w:rsidRDefault="00B46473">
            <w:pPr>
              <w:rPr>
                <w:sz w:val="20"/>
                <w:szCs w:val="20"/>
              </w:rPr>
            </w:pPr>
            <w:r>
              <w:rPr>
                <w:sz w:val="20"/>
                <w:szCs w:val="20"/>
              </w:rPr>
              <w:t>Direktes Malen ohne Vorzeichnung</w:t>
            </w: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Hinweise</w:t>
            </w:r>
            <w:r w:rsidR="00A6689E" w:rsidRPr="00A6689E">
              <w:rPr>
                <w:sz w:val="20"/>
                <w:szCs w:val="20"/>
                <w:u w:val="single"/>
              </w:rPr>
              <w:t xml:space="preserve"> / mögliche Weiterführung</w:t>
            </w:r>
            <w:r w:rsidR="00A6689E">
              <w:rPr>
                <w:sz w:val="20"/>
                <w:szCs w:val="20"/>
              </w:rPr>
              <w:t>:</w:t>
            </w:r>
          </w:p>
          <w:p w:rsidR="00F827AD" w:rsidRDefault="00F827AD">
            <w:pPr>
              <w:rPr>
                <w:sz w:val="20"/>
                <w:szCs w:val="20"/>
              </w:rPr>
            </w:pPr>
          </w:p>
          <w:p w:rsidR="00A6689E" w:rsidRDefault="00C66EA9">
            <w:pPr>
              <w:rPr>
                <w:sz w:val="20"/>
                <w:szCs w:val="20"/>
              </w:rPr>
            </w:pPr>
            <w:r>
              <w:rPr>
                <w:sz w:val="20"/>
                <w:szCs w:val="20"/>
              </w:rPr>
              <w:t>Dem Malprozess kann auch eine verbale Auseinandersetzung mit dem Bildinhalt folgen, indem z.B. eine Geschichte zum Bild aufgeschrieben wird (ohne zuvor über den Bildinhalt oder die Entstehungszeit und –umstände zu sprechen).</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Schwerpunkte IBK / PBK / ggf. Verweise F / L</w:t>
            </w:r>
            <w:r w:rsidR="00A6689E">
              <w:rPr>
                <w:sz w:val="20"/>
                <w:szCs w:val="20"/>
              </w:rPr>
              <w:t>:</w:t>
            </w:r>
          </w:p>
          <w:p w:rsidR="00F827AD" w:rsidRDefault="00F827AD">
            <w:pPr>
              <w:rPr>
                <w:sz w:val="20"/>
                <w:szCs w:val="20"/>
              </w:rPr>
            </w:pPr>
          </w:p>
          <w:p w:rsidR="00A6689E" w:rsidRDefault="008516C2">
            <w:pPr>
              <w:rPr>
                <w:sz w:val="20"/>
                <w:szCs w:val="20"/>
              </w:rPr>
            </w:pPr>
            <w:r>
              <w:rPr>
                <w:sz w:val="20"/>
                <w:szCs w:val="20"/>
              </w:rPr>
              <w:t>3.2.1 Bild (1-6), 3.2.2.2 Malerei (1), 2.1 Rezeption 1. -  4., 2.2 Reflexion 1. - 3., 2.3 Produktion 1. – 4., 2.4 Präsentation 2.</w:t>
            </w:r>
          </w:p>
          <w:p w:rsidR="008516C2" w:rsidRDefault="008516C2">
            <w:pPr>
              <w:rPr>
                <w:sz w:val="20"/>
                <w:szCs w:val="20"/>
              </w:rPr>
            </w:pPr>
            <w:r>
              <w:rPr>
                <w:sz w:val="20"/>
                <w:szCs w:val="20"/>
              </w:rPr>
              <w:t>Fächer</w:t>
            </w:r>
            <w:r w:rsidR="006F6199">
              <w:rPr>
                <w:sz w:val="20"/>
                <w:szCs w:val="20"/>
              </w:rPr>
              <w:t xml:space="preserve">verbindungen: D, G, Mus, </w:t>
            </w:r>
            <w:proofErr w:type="spellStart"/>
            <w:r w:rsidR="006F6199">
              <w:rPr>
                <w:sz w:val="20"/>
                <w:szCs w:val="20"/>
              </w:rPr>
              <w:t>Rel</w:t>
            </w:r>
            <w:proofErr w:type="spellEnd"/>
          </w:p>
          <w:p w:rsidR="00A6689E" w:rsidRDefault="00A6689E">
            <w:pPr>
              <w:rPr>
                <w:sz w:val="20"/>
                <w:szCs w:val="20"/>
              </w:rPr>
            </w:pPr>
          </w:p>
          <w:p w:rsidR="00A6689E" w:rsidRPr="00A6689E" w:rsidRDefault="00A6689E">
            <w:pPr>
              <w:rPr>
                <w:sz w:val="20"/>
                <w:szCs w:val="20"/>
              </w:rPr>
            </w:pPr>
          </w:p>
        </w:tc>
      </w:tr>
    </w:tbl>
    <w:p w:rsidR="00F827AD" w:rsidRPr="00D735E2" w:rsidRDefault="00F827AD"/>
    <w:sectPr w:rsidR="00F827AD" w:rsidRPr="00D735E2" w:rsidSect="00702F9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D735E2"/>
    <w:rsid w:val="0016020E"/>
    <w:rsid w:val="003D4CE2"/>
    <w:rsid w:val="00465B9C"/>
    <w:rsid w:val="00551533"/>
    <w:rsid w:val="006F6199"/>
    <w:rsid w:val="00702F94"/>
    <w:rsid w:val="00763440"/>
    <w:rsid w:val="007D2100"/>
    <w:rsid w:val="00810BEE"/>
    <w:rsid w:val="008516C2"/>
    <w:rsid w:val="00A6689E"/>
    <w:rsid w:val="00B46473"/>
    <w:rsid w:val="00C66EA9"/>
    <w:rsid w:val="00D72BBD"/>
    <w:rsid w:val="00D735E2"/>
    <w:rsid w:val="00F827AD"/>
    <w:rsid w:val="00F97B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2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8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Bösenberg</dc:creator>
  <cp:lastModifiedBy>Werwigk</cp:lastModifiedBy>
  <cp:revision>2</cp:revision>
  <dcterms:created xsi:type="dcterms:W3CDTF">2016-01-18T16:23:00Z</dcterms:created>
  <dcterms:modified xsi:type="dcterms:W3CDTF">2016-01-18T16:23:00Z</dcterms:modified>
</cp:coreProperties>
</file>