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7AD" w:rsidRDefault="00F827AD"/>
    <w:tbl>
      <w:tblPr>
        <w:tblStyle w:val="Tabellenraster"/>
        <w:tblW w:w="0" w:type="auto"/>
        <w:tblLook w:val="04A0" w:firstRow="1" w:lastRow="0" w:firstColumn="1" w:lastColumn="0" w:noHBand="0" w:noVBand="1"/>
      </w:tblPr>
      <w:tblGrid>
        <w:gridCol w:w="4603"/>
        <w:gridCol w:w="4603"/>
      </w:tblGrid>
      <w:tr w:rsidR="00F827AD" w:rsidRPr="00F827AD" w:rsidTr="00F827AD">
        <w:tc>
          <w:tcPr>
            <w:tcW w:w="9206" w:type="dxa"/>
            <w:gridSpan w:val="2"/>
          </w:tcPr>
          <w:p w:rsidR="00A6689E" w:rsidRPr="00F827AD" w:rsidRDefault="00F827AD">
            <w:pPr>
              <w:rPr>
                <w:b/>
              </w:rPr>
            </w:pPr>
            <w:r w:rsidRPr="00F827AD">
              <w:rPr>
                <w:b/>
              </w:rPr>
              <w:t>Bildende Kunst</w:t>
            </w:r>
            <w:r w:rsidRPr="00F827AD">
              <w:rPr>
                <w:b/>
              </w:rPr>
              <w:tab/>
            </w:r>
            <w:r w:rsidRPr="00F827AD">
              <w:rPr>
                <w:b/>
              </w:rPr>
              <w:tab/>
            </w:r>
            <w:r w:rsidRPr="00F827AD">
              <w:rPr>
                <w:b/>
              </w:rPr>
              <w:tab/>
            </w:r>
            <w:r w:rsidRPr="00F827AD">
              <w:rPr>
                <w:b/>
              </w:rPr>
              <w:tab/>
            </w:r>
            <w:r w:rsidRPr="00F827AD">
              <w:rPr>
                <w:b/>
              </w:rPr>
              <w:tab/>
            </w:r>
            <w:r w:rsidRPr="00F827AD">
              <w:rPr>
                <w:b/>
              </w:rPr>
              <w:tab/>
            </w:r>
            <w:r w:rsidRPr="00F827AD">
              <w:rPr>
                <w:b/>
              </w:rPr>
              <w:tab/>
            </w:r>
            <w:r>
              <w:rPr>
                <w:b/>
              </w:rPr>
              <w:t xml:space="preserve">       </w:t>
            </w:r>
            <w:r w:rsidRPr="00F827AD">
              <w:rPr>
                <w:b/>
              </w:rPr>
              <w:t>Bildungsplan 2016</w:t>
            </w:r>
          </w:p>
        </w:tc>
      </w:tr>
      <w:tr w:rsidR="00F827AD" w:rsidTr="00F827AD">
        <w:tc>
          <w:tcPr>
            <w:tcW w:w="4603" w:type="dxa"/>
          </w:tcPr>
          <w:p w:rsidR="00A6689E" w:rsidRDefault="00F827AD" w:rsidP="00F827AD">
            <w:pPr>
              <w:rPr>
                <w:sz w:val="20"/>
                <w:szCs w:val="20"/>
              </w:rPr>
            </w:pPr>
            <w:r w:rsidRPr="00A6689E">
              <w:rPr>
                <w:sz w:val="20"/>
                <w:szCs w:val="20"/>
                <w:u w:val="single"/>
              </w:rPr>
              <w:t>Lehrer / Lehrerin</w:t>
            </w:r>
            <w:r w:rsidRPr="00F827AD">
              <w:rPr>
                <w:sz w:val="20"/>
                <w:szCs w:val="20"/>
              </w:rPr>
              <w:t>:</w:t>
            </w:r>
            <w:r w:rsidRPr="00F827AD">
              <w:rPr>
                <w:sz w:val="20"/>
                <w:szCs w:val="20"/>
              </w:rPr>
              <w:tab/>
            </w:r>
          </w:p>
          <w:p w:rsidR="00A6689E" w:rsidRDefault="00A6689E" w:rsidP="00F827AD">
            <w:pPr>
              <w:rPr>
                <w:sz w:val="20"/>
                <w:szCs w:val="20"/>
              </w:rPr>
            </w:pPr>
          </w:p>
          <w:p w:rsidR="00F827AD" w:rsidRPr="00F827AD" w:rsidRDefault="00F827AD" w:rsidP="00F827AD">
            <w:pPr>
              <w:rPr>
                <w:sz w:val="20"/>
                <w:szCs w:val="20"/>
              </w:rPr>
            </w:pPr>
            <w:r w:rsidRPr="00F827AD">
              <w:rPr>
                <w:sz w:val="20"/>
                <w:szCs w:val="20"/>
              </w:rPr>
              <w:tab/>
            </w:r>
          </w:p>
        </w:tc>
        <w:tc>
          <w:tcPr>
            <w:tcW w:w="4603" w:type="dxa"/>
          </w:tcPr>
          <w:p w:rsidR="00F827AD" w:rsidRPr="00F827AD" w:rsidRDefault="00F827AD">
            <w:pPr>
              <w:rPr>
                <w:sz w:val="20"/>
                <w:szCs w:val="20"/>
              </w:rPr>
            </w:pPr>
            <w:r w:rsidRPr="00A6689E">
              <w:rPr>
                <w:sz w:val="20"/>
                <w:szCs w:val="20"/>
                <w:u w:val="single"/>
              </w:rPr>
              <w:t>Klasse</w:t>
            </w:r>
            <w:r w:rsidRPr="00F827AD">
              <w:rPr>
                <w:sz w:val="20"/>
                <w:szCs w:val="20"/>
              </w:rPr>
              <w:t>:</w:t>
            </w:r>
            <w:r w:rsidR="00962638">
              <w:rPr>
                <w:sz w:val="20"/>
                <w:szCs w:val="20"/>
              </w:rPr>
              <w:t xml:space="preserve"> 6 - 8</w:t>
            </w:r>
          </w:p>
          <w:p w:rsidR="00F827AD" w:rsidRPr="00F827AD" w:rsidRDefault="00F827AD">
            <w:pPr>
              <w:rPr>
                <w:sz w:val="20"/>
                <w:szCs w:val="20"/>
              </w:rPr>
            </w:pPr>
          </w:p>
        </w:tc>
      </w:tr>
      <w:tr w:rsidR="00F827AD" w:rsidTr="00F827AD">
        <w:tc>
          <w:tcPr>
            <w:tcW w:w="9206" w:type="dxa"/>
            <w:gridSpan w:val="2"/>
          </w:tcPr>
          <w:p w:rsidR="00F827AD" w:rsidRPr="00F827AD" w:rsidRDefault="00F827AD" w:rsidP="00F827AD">
            <w:pPr>
              <w:rPr>
                <w:sz w:val="20"/>
                <w:szCs w:val="20"/>
              </w:rPr>
            </w:pPr>
            <w:r w:rsidRPr="00A6689E">
              <w:rPr>
                <w:sz w:val="20"/>
                <w:szCs w:val="20"/>
                <w:u w:val="single"/>
              </w:rPr>
              <w:t>Bild (Titel des Werks)</w:t>
            </w:r>
            <w:r w:rsidRPr="00F827AD">
              <w:rPr>
                <w:sz w:val="20"/>
                <w:szCs w:val="20"/>
              </w:rPr>
              <w:t>:</w:t>
            </w:r>
          </w:p>
          <w:p w:rsidR="00F827AD" w:rsidRDefault="00F827AD">
            <w:pPr>
              <w:rPr>
                <w:sz w:val="20"/>
                <w:szCs w:val="20"/>
              </w:rPr>
            </w:pPr>
          </w:p>
          <w:p w:rsidR="00A6689E" w:rsidRDefault="00962638">
            <w:pPr>
              <w:rPr>
                <w:sz w:val="20"/>
                <w:szCs w:val="20"/>
              </w:rPr>
            </w:pPr>
            <w:r>
              <w:rPr>
                <w:sz w:val="20"/>
                <w:szCs w:val="20"/>
              </w:rPr>
              <w:t xml:space="preserve">Pieter de </w:t>
            </w:r>
            <w:proofErr w:type="spellStart"/>
            <w:r>
              <w:rPr>
                <w:sz w:val="20"/>
                <w:szCs w:val="20"/>
              </w:rPr>
              <w:t>Hooch</w:t>
            </w:r>
            <w:proofErr w:type="spellEnd"/>
            <w:r>
              <w:rPr>
                <w:sz w:val="20"/>
                <w:szCs w:val="20"/>
              </w:rPr>
              <w:t>, „Der Hinterhof“ 1658, National Gallery London</w:t>
            </w:r>
          </w:p>
          <w:p w:rsidR="00A6689E" w:rsidRDefault="00A6689E">
            <w:pPr>
              <w:rPr>
                <w:sz w:val="20"/>
                <w:szCs w:val="20"/>
              </w:rPr>
            </w:pPr>
          </w:p>
          <w:p w:rsidR="00A6689E" w:rsidRPr="00F827AD" w:rsidRDefault="00A6689E">
            <w:pPr>
              <w:rPr>
                <w:sz w:val="20"/>
                <w:szCs w:val="20"/>
              </w:rPr>
            </w:pPr>
          </w:p>
        </w:tc>
      </w:tr>
      <w:tr w:rsidR="00F827AD" w:rsidRPr="00A6689E" w:rsidTr="00F827AD">
        <w:tc>
          <w:tcPr>
            <w:tcW w:w="9206" w:type="dxa"/>
            <w:gridSpan w:val="2"/>
          </w:tcPr>
          <w:p w:rsidR="00F827AD" w:rsidRPr="00A6689E" w:rsidRDefault="00F827AD" w:rsidP="00F827AD">
            <w:pPr>
              <w:rPr>
                <w:sz w:val="20"/>
                <w:szCs w:val="20"/>
              </w:rPr>
            </w:pPr>
            <w:r w:rsidRPr="00A6689E">
              <w:rPr>
                <w:sz w:val="20"/>
                <w:szCs w:val="20"/>
                <w:u w:val="single"/>
              </w:rPr>
              <w:t>Projekttitel / Thematik der Unterrichtseinheit</w:t>
            </w:r>
            <w:r w:rsidR="00A6689E">
              <w:rPr>
                <w:sz w:val="20"/>
                <w:szCs w:val="20"/>
              </w:rPr>
              <w:t>:</w:t>
            </w:r>
          </w:p>
          <w:p w:rsidR="00A6689E" w:rsidRDefault="00962638">
            <w:pPr>
              <w:rPr>
                <w:sz w:val="20"/>
                <w:szCs w:val="20"/>
              </w:rPr>
            </w:pPr>
            <w:r>
              <w:rPr>
                <w:sz w:val="20"/>
                <w:szCs w:val="20"/>
              </w:rPr>
              <w:t>Raum – Durchblick und das „Dahinter“</w:t>
            </w:r>
          </w:p>
          <w:p w:rsidR="00A6689E" w:rsidRPr="00A6689E" w:rsidRDefault="00A6689E">
            <w:pPr>
              <w:rPr>
                <w:sz w:val="20"/>
                <w:szCs w:val="20"/>
              </w:rPr>
            </w:pPr>
          </w:p>
        </w:tc>
      </w:tr>
      <w:tr w:rsidR="00F827AD" w:rsidRPr="00A6689E" w:rsidTr="00F827AD">
        <w:tc>
          <w:tcPr>
            <w:tcW w:w="9206" w:type="dxa"/>
            <w:gridSpan w:val="2"/>
          </w:tcPr>
          <w:p w:rsidR="00F827AD" w:rsidRPr="00A6689E" w:rsidRDefault="00F827AD" w:rsidP="00F827AD">
            <w:pPr>
              <w:rPr>
                <w:sz w:val="20"/>
                <w:szCs w:val="20"/>
              </w:rPr>
            </w:pPr>
            <w:r w:rsidRPr="00A6689E">
              <w:rPr>
                <w:sz w:val="20"/>
                <w:szCs w:val="20"/>
                <w:u w:val="single"/>
              </w:rPr>
              <w:t>Methode</w:t>
            </w:r>
            <w:r w:rsidR="00A6689E">
              <w:rPr>
                <w:sz w:val="20"/>
                <w:szCs w:val="20"/>
              </w:rPr>
              <w:t>:</w:t>
            </w:r>
          </w:p>
          <w:p w:rsidR="00F827AD" w:rsidRDefault="00962638">
            <w:pPr>
              <w:rPr>
                <w:sz w:val="20"/>
                <w:szCs w:val="20"/>
              </w:rPr>
            </w:pPr>
            <w:r>
              <w:rPr>
                <w:sz w:val="20"/>
                <w:szCs w:val="20"/>
              </w:rPr>
              <w:t xml:space="preserve">Das Bild mit seinen sehr zahlreichen räumlichen Ebenen und Raumöffnungen wird mit einem geeigneten Bildbearbeitungsprogramm unter 20 bis 30 blickdichten Ebenen „verborgen“ und (z.B. reihum durch jeden Schüler sukzessive) puzzleartig „aufgedeckt“. Die </w:t>
            </w:r>
            <w:proofErr w:type="spellStart"/>
            <w:r>
              <w:rPr>
                <w:sz w:val="20"/>
                <w:szCs w:val="20"/>
              </w:rPr>
              <w:t>SuS</w:t>
            </w:r>
            <w:proofErr w:type="spellEnd"/>
            <w:r>
              <w:rPr>
                <w:sz w:val="20"/>
                <w:szCs w:val="20"/>
              </w:rPr>
              <w:t xml:space="preserve"> erschließen nach und nach sowohl die Inhalte als auch die komplexe Raumstruktur des Bildes. Am Ende erkennen sie so eine zentrale Intention des Künstlers und einen wesentlichen Aspekt der Malerei im Umgang mit Wirklichkeit. </w:t>
            </w:r>
          </w:p>
          <w:p w:rsidR="00A6689E" w:rsidRPr="00A6689E" w:rsidRDefault="00A6689E">
            <w:pPr>
              <w:rPr>
                <w:sz w:val="20"/>
                <w:szCs w:val="20"/>
              </w:rPr>
            </w:pPr>
          </w:p>
        </w:tc>
      </w:tr>
      <w:tr w:rsidR="00F827AD" w:rsidRPr="00A6689E" w:rsidTr="00F827AD">
        <w:tc>
          <w:tcPr>
            <w:tcW w:w="9206" w:type="dxa"/>
            <w:gridSpan w:val="2"/>
          </w:tcPr>
          <w:p w:rsidR="00F827AD" w:rsidRPr="00A6689E" w:rsidRDefault="00A6689E" w:rsidP="00F827AD">
            <w:pPr>
              <w:rPr>
                <w:sz w:val="20"/>
                <w:szCs w:val="20"/>
              </w:rPr>
            </w:pPr>
            <w:r w:rsidRPr="00A6689E">
              <w:rPr>
                <w:sz w:val="20"/>
                <w:szCs w:val="20"/>
                <w:u w:val="single"/>
              </w:rPr>
              <w:t xml:space="preserve">Material / </w:t>
            </w:r>
            <w:r w:rsidR="00F827AD" w:rsidRPr="00A6689E">
              <w:rPr>
                <w:sz w:val="20"/>
                <w:szCs w:val="20"/>
                <w:u w:val="single"/>
              </w:rPr>
              <w:t>Technik</w:t>
            </w:r>
            <w:r>
              <w:rPr>
                <w:sz w:val="20"/>
                <w:szCs w:val="20"/>
              </w:rPr>
              <w:t>:</w:t>
            </w:r>
          </w:p>
          <w:p w:rsidR="00F827AD" w:rsidRDefault="00962638">
            <w:pPr>
              <w:rPr>
                <w:sz w:val="20"/>
                <w:szCs w:val="20"/>
              </w:rPr>
            </w:pPr>
            <w:r>
              <w:rPr>
                <w:sz w:val="20"/>
                <w:szCs w:val="20"/>
              </w:rPr>
              <w:t xml:space="preserve">Präsentation mit </w:t>
            </w:r>
            <w:proofErr w:type="spellStart"/>
            <w:r>
              <w:rPr>
                <w:sz w:val="20"/>
                <w:szCs w:val="20"/>
              </w:rPr>
              <w:t>Beamer</w:t>
            </w:r>
            <w:proofErr w:type="spellEnd"/>
            <w:r>
              <w:rPr>
                <w:sz w:val="20"/>
                <w:szCs w:val="20"/>
              </w:rPr>
              <w:t xml:space="preserve">, Software zur digitalen Bildbearbeitung mit </w:t>
            </w:r>
            <w:proofErr w:type="spellStart"/>
            <w:r>
              <w:rPr>
                <w:sz w:val="20"/>
                <w:szCs w:val="20"/>
              </w:rPr>
              <w:t>Ebenenunterstützung</w:t>
            </w:r>
            <w:proofErr w:type="spellEnd"/>
            <w:r>
              <w:rPr>
                <w:sz w:val="20"/>
                <w:szCs w:val="20"/>
              </w:rPr>
              <w:t xml:space="preserve"> (</w:t>
            </w:r>
            <w:proofErr w:type="spellStart"/>
            <w:r>
              <w:rPr>
                <w:sz w:val="20"/>
                <w:szCs w:val="20"/>
              </w:rPr>
              <w:t>Gimp</w:t>
            </w:r>
            <w:proofErr w:type="spellEnd"/>
            <w:r>
              <w:rPr>
                <w:sz w:val="20"/>
                <w:szCs w:val="20"/>
              </w:rPr>
              <w:t xml:space="preserve">, </w:t>
            </w:r>
            <w:proofErr w:type="spellStart"/>
            <w:r>
              <w:rPr>
                <w:sz w:val="20"/>
                <w:szCs w:val="20"/>
              </w:rPr>
              <w:t>Fotoshop</w:t>
            </w:r>
            <w:proofErr w:type="spellEnd"/>
            <w:r>
              <w:rPr>
                <w:sz w:val="20"/>
                <w:szCs w:val="20"/>
              </w:rPr>
              <w:t xml:space="preserve"> o.Ä.</w:t>
            </w:r>
          </w:p>
          <w:p w:rsidR="00A6689E" w:rsidRDefault="00962638">
            <w:pPr>
              <w:rPr>
                <w:sz w:val="20"/>
                <w:szCs w:val="20"/>
              </w:rPr>
            </w:pPr>
            <w:r>
              <w:rPr>
                <w:sz w:val="20"/>
                <w:szCs w:val="20"/>
              </w:rPr>
              <w:t xml:space="preserve">Auch möglich: tatsächliches Papppuzzle über Großdruck oder </w:t>
            </w:r>
            <w:proofErr w:type="spellStart"/>
            <w:r>
              <w:rPr>
                <w:sz w:val="20"/>
                <w:szCs w:val="20"/>
              </w:rPr>
              <w:t>Mappendruck</w:t>
            </w:r>
            <w:proofErr w:type="spellEnd"/>
            <w:r>
              <w:rPr>
                <w:sz w:val="20"/>
                <w:szCs w:val="20"/>
              </w:rPr>
              <w:t xml:space="preserve"> (mit Visualizer) </w:t>
            </w:r>
          </w:p>
          <w:p w:rsidR="00A6689E" w:rsidRDefault="00A6689E">
            <w:pPr>
              <w:rPr>
                <w:sz w:val="20"/>
                <w:szCs w:val="20"/>
              </w:rPr>
            </w:pPr>
          </w:p>
          <w:p w:rsidR="00A6689E" w:rsidRPr="00A6689E" w:rsidRDefault="00A6689E">
            <w:pPr>
              <w:rPr>
                <w:sz w:val="20"/>
                <w:szCs w:val="20"/>
              </w:rPr>
            </w:pPr>
          </w:p>
        </w:tc>
      </w:tr>
      <w:tr w:rsidR="00F827AD" w:rsidRPr="00A6689E" w:rsidTr="00F827AD">
        <w:tc>
          <w:tcPr>
            <w:tcW w:w="9206" w:type="dxa"/>
            <w:gridSpan w:val="2"/>
          </w:tcPr>
          <w:p w:rsidR="00F827AD" w:rsidRPr="00A6689E" w:rsidRDefault="00F827AD" w:rsidP="00F827AD">
            <w:pPr>
              <w:rPr>
                <w:sz w:val="20"/>
                <w:szCs w:val="20"/>
              </w:rPr>
            </w:pPr>
            <w:r w:rsidRPr="00A6689E">
              <w:rPr>
                <w:sz w:val="20"/>
                <w:szCs w:val="20"/>
                <w:u w:val="single"/>
              </w:rPr>
              <w:t>Hinweise</w:t>
            </w:r>
            <w:r w:rsidR="00A6689E" w:rsidRPr="00A6689E">
              <w:rPr>
                <w:sz w:val="20"/>
                <w:szCs w:val="20"/>
                <w:u w:val="single"/>
              </w:rPr>
              <w:t xml:space="preserve"> / mögliche Weiterführung</w:t>
            </w:r>
            <w:r w:rsidR="00A6689E">
              <w:rPr>
                <w:sz w:val="20"/>
                <w:szCs w:val="20"/>
              </w:rPr>
              <w:t>:</w:t>
            </w:r>
          </w:p>
          <w:p w:rsidR="00F827AD" w:rsidRDefault="00F827AD">
            <w:pPr>
              <w:rPr>
                <w:sz w:val="20"/>
                <w:szCs w:val="20"/>
              </w:rPr>
            </w:pPr>
          </w:p>
          <w:p w:rsidR="00A6689E" w:rsidRDefault="00962638">
            <w:pPr>
              <w:rPr>
                <w:sz w:val="20"/>
                <w:szCs w:val="20"/>
              </w:rPr>
            </w:pPr>
            <w:r>
              <w:rPr>
                <w:sz w:val="20"/>
                <w:szCs w:val="20"/>
              </w:rPr>
              <w:t>Verknüpfung mit praktischer Arbeit zur räumlichen Darstellung mittels „Überdeckung“ (z.B. als Deckfarbenbild, Collage, etc.), auch: Piranesi (</w:t>
            </w:r>
            <w:proofErr w:type="spellStart"/>
            <w:r>
              <w:rPr>
                <w:sz w:val="20"/>
                <w:szCs w:val="20"/>
              </w:rPr>
              <w:t>Carceri</w:t>
            </w:r>
            <w:proofErr w:type="spellEnd"/>
            <w:r>
              <w:rPr>
                <w:sz w:val="20"/>
                <w:szCs w:val="20"/>
              </w:rPr>
              <w:t xml:space="preserve">), andere Bilder Pieter de </w:t>
            </w:r>
            <w:proofErr w:type="spellStart"/>
            <w:r>
              <w:rPr>
                <w:sz w:val="20"/>
                <w:szCs w:val="20"/>
              </w:rPr>
              <w:t>Hoochs</w:t>
            </w:r>
            <w:proofErr w:type="spellEnd"/>
            <w:r>
              <w:rPr>
                <w:sz w:val="20"/>
                <w:szCs w:val="20"/>
              </w:rPr>
              <w:t>, Scherenschnitt, Theaterkulisse, o.Ä.</w:t>
            </w:r>
          </w:p>
          <w:p w:rsidR="00A6689E" w:rsidRPr="00A6689E" w:rsidRDefault="00A6689E">
            <w:pPr>
              <w:rPr>
                <w:sz w:val="20"/>
                <w:szCs w:val="20"/>
              </w:rPr>
            </w:pPr>
          </w:p>
        </w:tc>
      </w:tr>
      <w:tr w:rsidR="00F827AD" w:rsidRPr="00A6689E" w:rsidTr="00F827AD">
        <w:tc>
          <w:tcPr>
            <w:tcW w:w="9206" w:type="dxa"/>
            <w:gridSpan w:val="2"/>
          </w:tcPr>
          <w:p w:rsidR="00F827AD" w:rsidRPr="00A6689E" w:rsidRDefault="00F827AD" w:rsidP="00F827AD">
            <w:pPr>
              <w:rPr>
                <w:sz w:val="20"/>
                <w:szCs w:val="20"/>
              </w:rPr>
            </w:pPr>
            <w:r w:rsidRPr="00A6689E">
              <w:rPr>
                <w:sz w:val="20"/>
                <w:szCs w:val="20"/>
                <w:u w:val="single"/>
              </w:rPr>
              <w:t>Schwerpunkte IBK / PBK / ggf. Verweise F / L</w:t>
            </w:r>
            <w:r w:rsidR="00A6689E">
              <w:rPr>
                <w:sz w:val="20"/>
                <w:szCs w:val="20"/>
              </w:rPr>
              <w:t>:</w:t>
            </w:r>
          </w:p>
          <w:p w:rsidR="00F827AD" w:rsidRDefault="00F827AD">
            <w:pPr>
              <w:rPr>
                <w:sz w:val="20"/>
                <w:szCs w:val="20"/>
              </w:rPr>
            </w:pPr>
          </w:p>
          <w:p w:rsidR="00962638" w:rsidRDefault="00962638">
            <w:pPr>
              <w:rPr>
                <w:sz w:val="20"/>
                <w:szCs w:val="20"/>
              </w:rPr>
            </w:pPr>
            <w:r>
              <w:rPr>
                <w:sz w:val="20"/>
                <w:szCs w:val="20"/>
              </w:rPr>
              <w:t>Grafik, Malerei, Medien</w:t>
            </w:r>
            <w:bookmarkStart w:id="0" w:name="_GoBack"/>
            <w:bookmarkEnd w:id="0"/>
          </w:p>
          <w:p w:rsidR="00A6689E" w:rsidRDefault="00A6689E">
            <w:pPr>
              <w:rPr>
                <w:sz w:val="20"/>
                <w:szCs w:val="20"/>
              </w:rPr>
            </w:pPr>
          </w:p>
          <w:p w:rsidR="00A6689E" w:rsidRDefault="00A6689E">
            <w:pPr>
              <w:rPr>
                <w:sz w:val="20"/>
                <w:szCs w:val="20"/>
              </w:rPr>
            </w:pPr>
          </w:p>
          <w:p w:rsidR="00A6689E" w:rsidRPr="00A6689E" w:rsidRDefault="00A6689E">
            <w:pPr>
              <w:rPr>
                <w:sz w:val="20"/>
                <w:szCs w:val="20"/>
              </w:rPr>
            </w:pPr>
          </w:p>
        </w:tc>
      </w:tr>
    </w:tbl>
    <w:p w:rsidR="00F827AD" w:rsidRPr="00D735E2" w:rsidRDefault="00F827AD"/>
    <w:sectPr w:rsidR="00F827AD" w:rsidRPr="00D735E2" w:rsidSect="00702F9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5E2"/>
    <w:rsid w:val="00702F94"/>
    <w:rsid w:val="00763440"/>
    <w:rsid w:val="00962638"/>
    <w:rsid w:val="00A6689E"/>
    <w:rsid w:val="00D735E2"/>
    <w:rsid w:val="00F827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827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827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1133</Characters>
  <Application>Microsoft Macintosh Word</Application>
  <DocSecurity>0</DocSecurity>
  <Lines>9</Lines>
  <Paragraphs>2</Paragraphs>
  <ScaleCrop>false</ScaleCrop>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Bösenberg</dc:creator>
  <cp:keywords/>
  <dc:description/>
  <cp:lastModifiedBy>Ulrich Bösenberg</cp:lastModifiedBy>
  <cp:revision>2</cp:revision>
  <dcterms:created xsi:type="dcterms:W3CDTF">2016-02-02T15:01:00Z</dcterms:created>
  <dcterms:modified xsi:type="dcterms:W3CDTF">2016-02-02T15:01:00Z</dcterms:modified>
</cp:coreProperties>
</file>