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4478" w14:textId="77777777" w:rsidR="00C33CA5" w:rsidRPr="00915551" w:rsidRDefault="00C33CA5">
      <w:pPr>
        <w:rPr>
          <w:b/>
        </w:rPr>
      </w:pPr>
      <w:r w:rsidRPr="00915551">
        <w:rPr>
          <w:b/>
        </w:rPr>
        <w:t xml:space="preserve">Mündliches Abitur Bildende Kunst </w:t>
      </w:r>
      <w:r w:rsidRPr="00915551">
        <w:rPr>
          <w:b/>
        </w:rPr>
        <w:tab/>
      </w:r>
      <w:r w:rsidRPr="00915551">
        <w:rPr>
          <w:b/>
        </w:rPr>
        <w:tab/>
      </w:r>
    </w:p>
    <w:p w14:paraId="30D98311" w14:textId="77777777" w:rsidR="00C33CA5" w:rsidRPr="00915551" w:rsidRDefault="00C33CA5">
      <w:pPr>
        <w:rPr>
          <w:b/>
        </w:rPr>
      </w:pPr>
    </w:p>
    <w:p w14:paraId="2385E3FE" w14:textId="77777777" w:rsidR="00763440" w:rsidRPr="00915551" w:rsidRDefault="00C33CA5">
      <w:pPr>
        <w:rPr>
          <w:b/>
        </w:rPr>
      </w:pPr>
      <w:r w:rsidRPr="00915551">
        <w:rPr>
          <w:b/>
        </w:rPr>
        <w:t>Aufgabenbeispiel zum Schwerpunktthema „Verkörperungen“</w:t>
      </w:r>
    </w:p>
    <w:p w14:paraId="62883F51" w14:textId="77777777" w:rsidR="00C33CA5" w:rsidRPr="00915551" w:rsidRDefault="00C33CA5">
      <w:pPr>
        <w:rPr>
          <w:b/>
        </w:rPr>
      </w:pPr>
    </w:p>
    <w:p w14:paraId="1FF20189" w14:textId="77777777" w:rsidR="00C33CA5" w:rsidRDefault="00C33CA5"/>
    <w:p w14:paraId="2231A8F5" w14:textId="77777777" w:rsidR="00C33CA5" w:rsidRPr="009B24FA" w:rsidRDefault="00C33CA5">
      <w:pPr>
        <w:rPr>
          <w:sz w:val="22"/>
          <w:szCs w:val="22"/>
          <w:u w:val="single"/>
        </w:rPr>
      </w:pPr>
      <w:r w:rsidRPr="009B24FA">
        <w:rPr>
          <w:sz w:val="22"/>
          <w:szCs w:val="22"/>
          <w:u w:val="single"/>
        </w:rPr>
        <w:t xml:space="preserve">Gegenstand der Aufgaben: </w:t>
      </w:r>
    </w:p>
    <w:p w14:paraId="7D23C6E2" w14:textId="77777777" w:rsidR="00CC5586" w:rsidRPr="009B24FA" w:rsidRDefault="00CC5586" w:rsidP="00CC5586">
      <w:pPr>
        <w:rPr>
          <w:b/>
          <w:sz w:val="22"/>
          <w:szCs w:val="22"/>
        </w:rPr>
      </w:pPr>
    </w:p>
    <w:p w14:paraId="617AEA14" w14:textId="01E26852" w:rsidR="00CC5586" w:rsidRPr="009B24FA" w:rsidRDefault="00CC5586" w:rsidP="00CC5586">
      <w:pPr>
        <w:rPr>
          <w:b/>
          <w:sz w:val="22"/>
          <w:szCs w:val="22"/>
        </w:rPr>
      </w:pPr>
      <w:r w:rsidRPr="009B24FA">
        <w:rPr>
          <w:b/>
          <w:sz w:val="22"/>
          <w:szCs w:val="22"/>
        </w:rPr>
        <w:t xml:space="preserve">Antony </w:t>
      </w:r>
      <w:proofErr w:type="spellStart"/>
      <w:r w:rsidRPr="009B24FA">
        <w:rPr>
          <w:b/>
          <w:sz w:val="22"/>
          <w:szCs w:val="22"/>
        </w:rPr>
        <w:t>Gormley</w:t>
      </w:r>
      <w:proofErr w:type="spellEnd"/>
      <w:r w:rsidRPr="009B24FA">
        <w:rPr>
          <w:b/>
          <w:sz w:val="22"/>
          <w:szCs w:val="22"/>
        </w:rPr>
        <w:t>, Time Horizon</w:t>
      </w:r>
      <w:r w:rsidR="004B2DE1" w:rsidRPr="009B24FA">
        <w:rPr>
          <w:b/>
          <w:sz w:val="22"/>
          <w:szCs w:val="22"/>
        </w:rPr>
        <w:t>, 2006</w:t>
      </w:r>
    </w:p>
    <w:p w14:paraId="4372DF73" w14:textId="41660534" w:rsidR="00CC5586" w:rsidRPr="009B24FA" w:rsidRDefault="00CC5586" w:rsidP="00CC5586">
      <w:pPr>
        <w:rPr>
          <w:sz w:val="22"/>
          <w:szCs w:val="22"/>
          <w:lang w:val="it-IT"/>
        </w:rPr>
      </w:pPr>
      <w:proofErr w:type="spellStart"/>
      <w:r w:rsidRPr="009B24FA">
        <w:rPr>
          <w:sz w:val="22"/>
          <w:szCs w:val="22"/>
          <w:lang w:val="it-IT"/>
        </w:rPr>
        <w:t>Gusseisen</w:t>
      </w:r>
      <w:proofErr w:type="spellEnd"/>
      <w:r w:rsidRPr="009B24FA">
        <w:rPr>
          <w:sz w:val="22"/>
          <w:szCs w:val="22"/>
          <w:lang w:val="it-IT"/>
        </w:rPr>
        <w:t xml:space="preserve">, 100 </w:t>
      </w:r>
      <w:proofErr w:type="spellStart"/>
      <w:r w:rsidRPr="009B24FA">
        <w:rPr>
          <w:sz w:val="22"/>
          <w:szCs w:val="22"/>
          <w:lang w:val="it-IT"/>
        </w:rPr>
        <w:t>Elemente</w:t>
      </w:r>
      <w:proofErr w:type="spellEnd"/>
      <w:r w:rsidRPr="009B24FA">
        <w:rPr>
          <w:sz w:val="22"/>
          <w:szCs w:val="22"/>
          <w:lang w:val="it-IT"/>
        </w:rPr>
        <w:t xml:space="preserve">, 189 x 53 x 29cm, Parco Archeologico di </w:t>
      </w:r>
      <w:proofErr w:type="spellStart"/>
      <w:r w:rsidRPr="009B24FA">
        <w:rPr>
          <w:sz w:val="22"/>
          <w:szCs w:val="22"/>
          <w:lang w:val="it-IT"/>
        </w:rPr>
        <w:t>Solacium</w:t>
      </w:r>
      <w:proofErr w:type="spellEnd"/>
      <w:r w:rsidRPr="009B24FA">
        <w:rPr>
          <w:sz w:val="22"/>
          <w:szCs w:val="22"/>
          <w:lang w:val="it-IT"/>
        </w:rPr>
        <w:t xml:space="preserve">, Catanzaro, </w:t>
      </w:r>
      <w:proofErr w:type="spellStart"/>
      <w:r w:rsidRPr="009B24FA">
        <w:rPr>
          <w:sz w:val="22"/>
          <w:szCs w:val="22"/>
          <w:lang w:val="it-IT"/>
        </w:rPr>
        <w:t>Italien</w:t>
      </w:r>
      <w:proofErr w:type="spellEnd"/>
    </w:p>
    <w:p w14:paraId="28F324FB" w14:textId="57AA8DB4" w:rsidR="00CC5586" w:rsidRPr="009B24FA" w:rsidRDefault="00CC5586" w:rsidP="00CC5586">
      <w:pPr>
        <w:rPr>
          <w:rFonts w:cs="Arial"/>
          <w:color w:val="000000"/>
          <w:sz w:val="22"/>
          <w:szCs w:val="22"/>
          <w:lang w:val="it-IT"/>
        </w:rPr>
      </w:pPr>
      <w:r w:rsidRPr="009B24FA">
        <w:rPr>
          <w:rFonts w:ascii="Wingdings" w:hAnsi="Wingdings"/>
          <w:color w:val="000000"/>
          <w:sz w:val="22"/>
          <w:szCs w:val="22"/>
        </w:rPr>
        <w:t></w:t>
      </w:r>
      <w:r w:rsidR="002F4B13" w:rsidRPr="009B24FA">
        <w:rPr>
          <w:rFonts w:ascii="Wingdings" w:hAnsi="Wingdings"/>
          <w:color w:val="000000"/>
          <w:sz w:val="22"/>
          <w:szCs w:val="22"/>
        </w:rPr>
        <w:t></w:t>
      </w:r>
      <w:proofErr w:type="spellStart"/>
      <w:r w:rsidR="002F4B13" w:rsidRPr="009B24FA">
        <w:rPr>
          <w:rFonts w:cs="Arial"/>
          <w:color w:val="000000"/>
          <w:sz w:val="22"/>
          <w:szCs w:val="22"/>
          <w:lang w:val="it-IT"/>
        </w:rPr>
        <w:t>Verschiedene</w:t>
      </w:r>
      <w:proofErr w:type="spellEnd"/>
      <w:r w:rsidR="002F4B13" w:rsidRPr="009B24FA">
        <w:rPr>
          <w:rFonts w:cs="Arial"/>
          <w:color w:val="000000"/>
          <w:sz w:val="22"/>
          <w:szCs w:val="22"/>
          <w:lang w:val="it-IT"/>
        </w:rPr>
        <w:t xml:space="preserve"> </w:t>
      </w:r>
      <w:proofErr w:type="spellStart"/>
      <w:r w:rsidR="002F4B13" w:rsidRPr="009B24FA">
        <w:rPr>
          <w:rFonts w:cs="Arial"/>
          <w:color w:val="000000"/>
          <w:sz w:val="22"/>
          <w:szCs w:val="22"/>
          <w:lang w:val="it-IT"/>
        </w:rPr>
        <w:t>Ansichten</w:t>
      </w:r>
      <w:proofErr w:type="spellEnd"/>
    </w:p>
    <w:p w14:paraId="522C78D7" w14:textId="77777777" w:rsidR="00C33CA5" w:rsidRPr="009B24FA" w:rsidRDefault="00C33CA5">
      <w:pPr>
        <w:rPr>
          <w:sz w:val="22"/>
          <w:szCs w:val="22"/>
          <w:lang w:val="it-IT"/>
        </w:rPr>
      </w:pPr>
    </w:p>
    <w:p w14:paraId="0F24BD6E" w14:textId="56928302" w:rsidR="00915551" w:rsidRPr="009B24FA" w:rsidRDefault="00915551" w:rsidP="00915551">
      <w:pPr>
        <w:rPr>
          <w:b/>
          <w:sz w:val="22"/>
          <w:szCs w:val="22"/>
        </w:rPr>
      </w:pPr>
      <w:r w:rsidRPr="009B24FA">
        <w:rPr>
          <w:b/>
          <w:sz w:val="22"/>
          <w:szCs w:val="22"/>
        </w:rPr>
        <w:t xml:space="preserve">Alberto Giacometti, </w:t>
      </w:r>
      <w:r w:rsidR="00A42495" w:rsidRPr="009B24FA">
        <w:rPr>
          <w:b/>
          <w:sz w:val="22"/>
          <w:szCs w:val="22"/>
        </w:rPr>
        <w:t>Platz, Komposition mit drei Figuren und einem Kopf</w:t>
      </w:r>
      <w:r w:rsidRPr="009B24FA">
        <w:rPr>
          <w:b/>
          <w:sz w:val="22"/>
          <w:szCs w:val="22"/>
        </w:rPr>
        <w:t xml:space="preserve"> </w:t>
      </w:r>
    </w:p>
    <w:p w14:paraId="0F83D8F7" w14:textId="5DC1AD56" w:rsidR="00915551" w:rsidRPr="009B24FA" w:rsidRDefault="00A42495" w:rsidP="00915551">
      <w:pPr>
        <w:rPr>
          <w:sz w:val="22"/>
          <w:szCs w:val="22"/>
        </w:rPr>
      </w:pPr>
      <w:r w:rsidRPr="009B24FA">
        <w:rPr>
          <w:rFonts w:cs="Arial"/>
          <w:sz w:val="22"/>
          <w:szCs w:val="22"/>
        </w:rPr>
        <w:t>1950</w:t>
      </w:r>
      <w:r w:rsidR="00915551" w:rsidRPr="009B24FA">
        <w:rPr>
          <w:rFonts w:cs="Arial"/>
          <w:sz w:val="22"/>
          <w:szCs w:val="22"/>
        </w:rPr>
        <w:t>, Bronze</w:t>
      </w:r>
      <w:r w:rsidRPr="009B24FA">
        <w:rPr>
          <w:rFonts w:cs="Arial"/>
          <w:sz w:val="22"/>
          <w:szCs w:val="22"/>
        </w:rPr>
        <w:t>, bemalt</w:t>
      </w:r>
      <w:r w:rsidR="00915551" w:rsidRPr="009B24FA">
        <w:rPr>
          <w:rFonts w:cs="Arial"/>
          <w:sz w:val="22"/>
          <w:szCs w:val="22"/>
        </w:rPr>
        <w:t xml:space="preserve">, </w:t>
      </w:r>
      <w:r w:rsidRPr="009B24FA">
        <w:rPr>
          <w:rFonts w:cs="Arial"/>
          <w:sz w:val="22"/>
          <w:szCs w:val="22"/>
        </w:rPr>
        <w:t>58 x 56 x 41 cm, Kunsthalle Mannheim</w:t>
      </w:r>
    </w:p>
    <w:p w14:paraId="50273174" w14:textId="4A09F77D" w:rsidR="00915551" w:rsidRPr="009B24FA" w:rsidRDefault="00915551" w:rsidP="00915551">
      <w:pPr>
        <w:rPr>
          <w:color w:val="000000"/>
          <w:sz w:val="22"/>
          <w:szCs w:val="22"/>
        </w:rPr>
      </w:pPr>
      <w:r w:rsidRPr="009B24FA">
        <w:rPr>
          <w:rFonts w:ascii="Wingdings" w:hAnsi="Wingdings"/>
          <w:color w:val="000000"/>
          <w:sz w:val="22"/>
          <w:szCs w:val="22"/>
        </w:rPr>
        <w:t></w:t>
      </w:r>
      <w:r w:rsidRPr="009B24FA">
        <w:rPr>
          <w:rFonts w:ascii="Wingdings" w:hAnsi="Wingdings"/>
          <w:color w:val="000000"/>
          <w:sz w:val="22"/>
          <w:szCs w:val="22"/>
        </w:rPr>
        <w:t></w:t>
      </w:r>
      <w:r w:rsidR="00A42495" w:rsidRPr="009B24FA">
        <w:rPr>
          <w:color w:val="000000"/>
          <w:sz w:val="22"/>
          <w:szCs w:val="22"/>
        </w:rPr>
        <w:t>Ansicht von vorne</w:t>
      </w:r>
    </w:p>
    <w:p w14:paraId="603E2735" w14:textId="77777777" w:rsidR="00915551" w:rsidRPr="009B24FA" w:rsidRDefault="00915551">
      <w:pPr>
        <w:rPr>
          <w:sz w:val="22"/>
          <w:szCs w:val="22"/>
        </w:rPr>
      </w:pPr>
    </w:p>
    <w:p w14:paraId="4B72F5B8" w14:textId="31854822" w:rsidR="00C33CA5" w:rsidRPr="009B24FA" w:rsidRDefault="006F7335">
      <w:pPr>
        <w:rPr>
          <w:sz w:val="22"/>
          <w:szCs w:val="22"/>
          <w:u w:val="single"/>
        </w:rPr>
      </w:pPr>
      <w:r w:rsidRPr="009B24FA">
        <w:rPr>
          <w:sz w:val="22"/>
          <w:szCs w:val="22"/>
          <w:u w:val="single"/>
        </w:rPr>
        <w:t>Aufgabe</w:t>
      </w:r>
      <w:r w:rsidR="00EF32A9" w:rsidRPr="009B24FA">
        <w:rPr>
          <w:sz w:val="22"/>
          <w:szCs w:val="22"/>
          <w:u w:val="single"/>
        </w:rPr>
        <w:t>n</w:t>
      </w:r>
      <w:r w:rsidR="00C33CA5" w:rsidRPr="009B24FA">
        <w:rPr>
          <w:sz w:val="22"/>
          <w:szCs w:val="22"/>
          <w:u w:val="single"/>
        </w:rPr>
        <w:t>:</w:t>
      </w:r>
    </w:p>
    <w:p w14:paraId="1449690A" w14:textId="77777777" w:rsidR="00C33CA5" w:rsidRPr="009B24FA" w:rsidRDefault="00C33CA5">
      <w:pPr>
        <w:rPr>
          <w:sz w:val="22"/>
          <w:szCs w:val="22"/>
        </w:rPr>
      </w:pPr>
    </w:p>
    <w:p w14:paraId="5F4F6C43" w14:textId="77777777" w:rsidR="00C33CA5" w:rsidRPr="009B24FA" w:rsidRDefault="00C33CA5" w:rsidP="00C33CA5">
      <w:pPr>
        <w:pStyle w:val="Listenabsatz"/>
        <w:numPr>
          <w:ilvl w:val="0"/>
          <w:numId w:val="1"/>
        </w:numPr>
        <w:rPr>
          <w:sz w:val="22"/>
          <w:szCs w:val="22"/>
        </w:rPr>
      </w:pPr>
      <w:r w:rsidRPr="009B24FA">
        <w:rPr>
          <w:sz w:val="22"/>
          <w:szCs w:val="22"/>
        </w:rPr>
        <w:t>Beschreiben und analysieren Sie die vorliegenden Werke. Gehen Sie dabei besonders auf die Darstellung der Figuren und ihre Positionierung ein.</w:t>
      </w:r>
    </w:p>
    <w:p w14:paraId="04F9390F" w14:textId="77777777" w:rsidR="00C33CA5" w:rsidRPr="009B24FA" w:rsidRDefault="00C33CA5" w:rsidP="00C33CA5">
      <w:pPr>
        <w:pStyle w:val="Listenabsatz"/>
        <w:numPr>
          <w:ilvl w:val="0"/>
          <w:numId w:val="1"/>
        </w:numPr>
        <w:rPr>
          <w:sz w:val="22"/>
          <w:szCs w:val="22"/>
        </w:rPr>
      </w:pPr>
      <w:r w:rsidRPr="009B24FA">
        <w:rPr>
          <w:sz w:val="22"/>
          <w:szCs w:val="22"/>
        </w:rPr>
        <w:t>Deuten Sie die beiden Werke vergleichend. Inwiefern lässt sich bei beiden eine Verkörperung v</w:t>
      </w:r>
      <w:r w:rsidR="006F7335" w:rsidRPr="009B24FA">
        <w:rPr>
          <w:sz w:val="22"/>
          <w:szCs w:val="22"/>
        </w:rPr>
        <w:t>on Raum und Zeit erkennen?</w:t>
      </w:r>
    </w:p>
    <w:p w14:paraId="680EAB72" w14:textId="77777777" w:rsidR="006F7335" w:rsidRPr="009B24FA" w:rsidRDefault="006F7335" w:rsidP="006F7335">
      <w:pPr>
        <w:rPr>
          <w:sz w:val="22"/>
          <w:szCs w:val="22"/>
        </w:rPr>
      </w:pPr>
    </w:p>
    <w:p w14:paraId="15D41AB2" w14:textId="77777777" w:rsidR="006F7335" w:rsidRPr="009B24FA" w:rsidRDefault="006F7335" w:rsidP="006F7335">
      <w:pPr>
        <w:rPr>
          <w:sz w:val="22"/>
          <w:szCs w:val="22"/>
        </w:rPr>
      </w:pPr>
    </w:p>
    <w:p w14:paraId="0510CFD2" w14:textId="77777777" w:rsidR="006F7335" w:rsidRPr="009B24FA" w:rsidRDefault="006F7335" w:rsidP="006F7335">
      <w:pPr>
        <w:rPr>
          <w:sz w:val="22"/>
          <w:szCs w:val="22"/>
          <w:u w:val="single"/>
        </w:rPr>
      </w:pPr>
      <w:r w:rsidRPr="009B24FA">
        <w:rPr>
          <w:sz w:val="22"/>
          <w:szCs w:val="22"/>
          <w:u w:val="single"/>
        </w:rPr>
        <w:t>Mögliche Erweiterung oder Fortführung der Prüfung:</w:t>
      </w:r>
    </w:p>
    <w:p w14:paraId="17923FEF" w14:textId="77777777" w:rsidR="00CC5586" w:rsidRPr="009B24FA" w:rsidRDefault="00CC5586" w:rsidP="00CC5586">
      <w:pPr>
        <w:rPr>
          <w:b/>
          <w:sz w:val="22"/>
          <w:szCs w:val="22"/>
        </w:rPr>
      </w:pPr>
    </w:p>
    <w:p w14:paraId="27EF504B" w14:textId="7B7ED8B5" w:rsidR="00CC5586" w:rsidRPr="009B24FA" w:rsidRDefault="00CC5586" w:rsidP="00CC5586">
      <w:pPr>
        <w:rPr>
          <w:b/>
          <w:sz w:val="22"/>
          <w:szCs w:val="22"/>
        </w:rPr>
      </w:pPr>
      <w:r w:rsidRPr="009B24FA">
        <w:rPr>
          <w:b/>
          <w:sz w:val="22"/>
          <w:szCs w:val="22"/>
        </w:rPr>
        <w:t xml:space="preserve">Antony </w:t>
      </w:r>
      <w:proofErr w:type="spellStart"/>
      <w:r w:rsidRPr="009B24FA">
        <w:rPr>
          <w:b/>
          <w:sz w:val="22"/>
          <w:szCs w:val="22"/>
        </w:rPr>
        <w:t>Gormley</w:t>
      </w:r>
      <w:proofErr w:type="spellEnd"/>
      <w:r w:rsidRPr="009B24FA">
        <w:rPr>
          <w:b/>
          <w:sz w:val="22"/>
          <w:szCs w:val="22"/>
        </w:rPr>
        <w:t>, Horizon Field</w:t>
      </w:r>
      <w:r w:rsidR="00227309" w:rsidRPr="009B24FA">
        <w:rPr>
          <w:b/>
          <w:sz w:val="22"/>
          <w:szCs w:val="22"/>
        </w:rPr>
        <w:t>, 2010 - 2012</w:t>
      </w:r>
    </w:p>
    <w:p w14:paraId="22E803F2" w14:textId="77777777" w:rsidR="00CC5586" w:rsidRPr="009B24FA" w:rsidRDefault="00CC5586" w:rsidP="00CC5586">
      <w:pPr>
        <w:rPr>
          <w:sz w:val="22"/>
          <w:szCs w:val="22"/>
        </w:rPr>
      </w:pPr>
      <w:r w:rsidRPr="009B24FA">
        <w:rPr>
          <w:sz w:val="22"/>
          <w:szCs w:val="22"/>
        </w:rPr>
        <w:t>Gusseisen, Bregenzer Wald</w:t>
      </w:r>
    </w:p>
    <w:p w14:paraId="39EC2552" w14:textId="244D130E" w:rsidR="00CC5586" w:rsidRPr="009B24FA" w:rsidRDefault="00CC5586" w:rsidP="00CC5586">
      <w:pPr>
        <w:rPr>
          <w:rFonts w:cs="Arial"/>
          <w:color w:val="000000"/>
          <w:sz w:val="22"/>
          <w:szCs w:val="22"/>
        </w:rPr>
      </w:pPr>
      <w:r w:rsidRPr="009B24FA">
        <w:rPr>
          <w:rFonts w:ascii="Wingdings" w:hAnsi="Wingdings"/>
          <w:color w:val="000000"/>
          <w:sz w:val="22"/>
          <w:szCs w:val="22"/>
        </w:rPr>
        <w:t></w:t>
      </w:r>
      <w:r w:rsidR="0091561D" w:rsidRPr="009B24FA">
        <w:rPr>
          <w:rFonts w:ascii="Wingdings" w:hAnsi="Wingdings"/>
          <w:color w:val="000000"/>
          <w:sz w:val="22"/>
          <w:szCs w:val="22"/>
        </w:rPr>
        <w:t></w:t>
      </w:r>
      <w:r w:rsidR="0091561D" w:rsidRPr="009B24FA">
        <w:rPr>
          <w:rFonts w:cs="Arial"/>
          <w:color w:val="000000"/>
          <w:sz w:val="22"/>
          <w:szCs w:val="22"/>
        </w:rPr>
        <w:t>Ansichten in der Landschaft</w:t>
      </w:r>
    </w:p>
    <w:p w14:paraId="33607C6D" w14:textId="3BE0B8E2" w:rsidR="00CC5586" w:rsidRPr="009B24FA" w:rsidRDefault="00CC5586" w:rsidP="00CC5586">
      <w:pPr>
        <w:rPr>
          <w:rFonts w:cs="Arial"/>
          <w:sz w:val="22"/>
          <w:szCs w:val="22"/>
        </w:rPr>
      </w:pPr>
      <w:r w:rsidRPr="009B24FA">
        <w:rPr>
          <w:rFonts w:ascii="Wingdings" w:hAnsi="Wingdings"/>
          <w:color w:val="000000"/>
          <w:sz w:val="22"/>
          <w:szCs w:val="22"/>
        </w:rPr>
        <w:t></w:t>
      </w:r>
      <w:r w:rsidR="0091561D" w:rsidRPr="009B24FA">
        <w:rPr>
          <w:rFonts w:cs="Arial"/>
          <w:color w:val="000000"/>
          <w:sz w:val="22"/>
          <w:szCs w:val="22"/>
        </w:rPr>
        <w:t xml:space="preserve">   Nahsicht einer Figur</w:t>
      </w:r>
    </w:p>
    <w:p w14:paraId="50FE2974" w14:textId="77777777" w:rsidR="007373F4" w:rsidRPr="009B24FA" w:rsidRDefault="007373F4">
      <w:pPr>
        <w:rPr>
          <w:sz w:val="22"/>
          <w:szCs w:val="22"/>
        </w:rPr>
      </w:pPr>
    </w:p>
    <w:p w14:paraId="4189246D" w14:textId="77777777" w:rsidR="00915551" w:rsidRPr="009B24FA" w:rsidRDefault="00915551">
      <w:pPr>
        <w:rPr>
          <w:sz w:val="22"/>
          <w:szCs w:val="22"/>
          <w:u w:val="single"/>
        </w:rPr>
      </w:pPr>
      <w:r w:rsidRPr="009B24FA">
        <w:rPr>
          <w:sz w:val="22"/>
          <w:szCs w:val="22"/>
          <w:u w:val="single"/>
        </w:rPr>
        <w:t>Aufgabe:</w:t>
      </w:r>
    </w:p>
    <w:p w14:paraId="454748E8" w14:textId="6069D40D" w:rsidR="00915551" w:rsidRPr="009B24FA" w:rsidRDefault="00A42495">
      <w:pPr>
        <w:rPr>
          <w:sz w:val="22"/>
          <w:szCs w:val="22"/>
        </w:rPr>
      </w:pPr>
      <w:r w:rsidRPr="009B24FA">
        <w:rPr>
          <w:sz w:val="22"/>
          <w:szCs w:val="22"/>
        </w:rPr>
        <w:t>Erläutern Sie</w:t>
      </w:r>
      <w:r w:rsidR="0091561D" w:rsidRPr="009B24FA">
        <w:rPr>
          <w:sz w:val="22"/>
          <w:szCs w:val="22"/>
        </w:rPr>
        <w:t xml:space="preserve"> Gemeinsamkeiten und Unterschiede in Bezug auf „Time Horizon“.</w:t>
      </w:r>
      <w:r w:rsidR="00915551" w:rsidRPr="009B24FA">
        <w:rPr>
          <w:sz w:val="22"/>
          <w:szCs w:val="22"/>
        </w:rPr>
        <w:t xml:space="preserve"> </w:t>
      </w:r>
    </w:p>
    <w:p w14:paraId="5AC4C7EB" w14:textId="77777777" w:rsidR="00915551" w:rsidRPr="009B24FA" w:rsidRDefault="00915551">
      <w:pPr>
        <w:rPr>
          <w:sz w:val="22"/>
          <w:szCs w:val="22"/>
        </w:rPr>
      </w:pPr>
    </w:p>
    <w:p w14:paraId="4A3661D4" w14:textId="77777777" w:rsidR="00C33CA5" w:rsidRPr="009B24FA" w:rsidRDefault="006F7335">
      <w:pPr>
        <w:rPr>
          <w:b/>
          <w:i/>
          <w:sz w:val="22"/>
          <w:szCs w:val="22"/>
        </w:rPr>
      </w:pPr>
      <w:r w:rsidRPr="009B24FA">
        <w:rPr>
          <w:b/>
          <w:i/>
          <w:sz w:val="22"/>
          <w:szCs w:val="22"/>
        </w:rPr>
        <w:t>oder</w:t>
      </w:r>
    </w:p>
    <w:p w14:paraId="2353EB97" w14:textId="77777777" w:rsidR="006F7335" w:rsidRPr="009B24FA" w:rsidRDefault="006F7335">
      <w:pPr>
        <w:rPr>
          <w:sz w:val="22"/>
          <w:szCs w:val="22"/>
        </w:rPr>
      </w:pPr>
    </w:p>
    <w:p w14:paraId="6581D712" w14:textId="77777777" w:rsidR="006F7335" w:rsidRPr="009B24FA" w:rsidRDefault="006F7335">
      <w:pPr>
        <w:rPr>
          <w:b/>
          <w:sz w:val="22"/>
          <w:szCs w:val="22"/>
        </w:rPr>
      </w:pPr>
      <w:r w:rsidRPr="009B24FA">
        <w:rPr>
          <w:b/>
          <w:sz w:val="22"/>
          <w:szCs w:val="22"/>
        </w:rPr>
        <w:t xml:space="preserve">Nike von </w:t>
      </w:r>
      <w:proofErr w:type="spellStart"/>
      <w:r w:rsidRPr="009B24FA">
        <w:rPr>
          <w:b/>
          <w:sz w:val="22"/>
          <w:szCs w:val="22"/>
        </w:rPr>
        <w:t>Samothrake</w:t>
      </w:r>
      <w:proofErr w:type="spellEnd"/>
    </w:p>
    <w:p w14:paraId="75A97D5A" w14:textId="7E6E2329" w:rsidR="00625015" w:rsidRPr="009B24FA" w:rsidRDefault="000A6C7A">
      <w:pPr>
        <w:rPr>
          <w:sz w:val="22"/>
          <w:szCs w:val="22"/>
        </w:rPr>
      </w:pPr>
      <w:r w:rsidRPr="009B24FA">
        <w:rPr>
          <w:sz w:val="22"/>
          <w:szCs w:val="22"/>
        </w:rPr>
        <w:t>Um 190 v.Chr., Marmor, Höhe 245 cm ohne Sockel, Paris, Louvre</w:t>
      </w:r>
    </w:p>
    <w:p w14:paraId="4124B7DD" w14:textId="6247D161" w:rsidR="007373F4" w:rsidRPr="009B24FA" w:rsidRDefault="007373F4">
      <w:pPr>
        <w:rPr>
          <w:sz w:val="22"/>
          <w:szCs w:val="22"/>
        </w:rPr>
      </w:pPr>
      <w:r w:rsidRPr="009B24FA">
        <w:rPr>
          <w:rFonts w:ascii="Wingdings" w:hAnsi="Wingdings"/>
          <w:color w:val="000000"/>
          <w:sz w:val="22"/>
          <w:szCs w:val="22"/>
        </w:rPr>
        <w:t></w:t>
      </w:r>
      <w:r w:rsidRPr="009B24FA">
        <w:rPr>
          <w:rFonts w:ascii="Wingdings" w:hAnsi="Wingdings"/>
          <w:color w:val="000000"/>
          <w:sz w:val="22"/>
          <w:szCs w:val="22"/>
        </w:rPr>
        <w:t></w:t>
      </w:r>
      <w:r w:rsidR="000A6C7A" w:rsidRPr="009B24FA">
        <w:rPr>
          <w:rFonts w:cs="Arial"/>
          <w:color w:val="000000"/>
          <w:sz w:val="22"/>
          <w:szCs w:val="22"/>
        </w:rPr>
        <w:t xml:space="preserve">2 Ansichten der </w:t>
      </w:r>
      <w:r w:rsidRPr="009B24FA">
        <w:rPr>
          <w:sz w:val="22"/>
          <w:szCs w:val="22"/>
        </w:rPr>
        <w:t>Figur</w:t>
      </w:r>
    </w:p>
    <w:p w14:paraId="161094FC" w14:textId="77777777" w:rsidR="006F7335" w:rsidRPr="009B24FA" w:rsidRDefault="006F7335">
      <w:pPr>
        <w:rPr>
          <w:sz w:val="22"/>
          <w:szCs w:val="22"/>
        </w:rPr>
      </w:pPr>
    </w:p>
    <w:p w14:paraId="1530351B" w14:textId="77777777" w:rsidR="006F7335" w:rsidRPr="009B24FA" w:rsidRDefault="006F7335">
      <w:pPr>
        <w:rPr>
          <w:sz w:val="22"/>
          <w:szCs w:val="22"/>
          <w:u w:val="single"/>
        </w:rPr>
      </w:pPr>
      <w:r w:rsidRPr="009B24FA">
        <w:rPr>
          <w:sz w:val="22"/>
          <w:szCs w:val="22"/>
          <w:u w:val="single"/>
        </w:rPr>
        <w:t>Aufgabe:</w:t>
      </w:r>
    </w:p>
    <w:p w14:paraId="75721111" w14:textId="0AECECA4" w:rsidR="004D5957" w:rsidRPr="009B24FA" w:rsidRDefault="00625015">
      <w:pPr>
        <w:rPr>
          <w:sz w:val="22"/>
          <w:szCs w:val="22"/>
        </w:rPr>
      </w:pPr>
      <w:r w:rsidRPr="009B24FA">
        <w:rPr>
          <w:sz w:val="22"/>
          <w:szCs w:val="22"/>
        </w:rPr>
        <w:t>Erläuter</w:t>
      </w:r>
      <w:r w:rsidR="006F7335" w:rsidRPr="009B24FA">
        <w:rPr>
          <w:sz w:val="22"/>
          <w:szCs w:val="22"/>
        </w:rPr>
        <w:t>n Sie wesentliche Gestaltungsmerkmale dieser hellenistischen Figur einer Siegesgöttin.</w:t>
      </w:r>
      <w:r w:rsidR="007373F4" w:rsidRPr="009B24FA">
        <w:rPr>
          <w:sz w:val="22"/>
          <w:szCs w:val="22"/>
        </w:rPr>
        <w:t xml:space="preserve"> Gehen Sie auf den möglichen Aufstellungsort ein und stellen Sie Bezüge zu den Werken von Giacometti und </w:t>
      </w:r>
      <w:proofErr w:type="spellStart"/>
      <w:r w:rsidR="007373F4" w:rsidRPr="009B24FA">
        <w:rPr>
          <w:sz w:val="22"/>
          <w:szCs w:val="22"/>
        </w:rPr>
        <w:t>Gormley</w:t>
      </w:r>
      <w:proofErr w:type="spellEnd"/>
      <w:r w:rsidR="007373F4" w:rsidRPr="009B24FA">
        <w:rPr>
          <w:sz w:val="22"/>
          <w:szCs w:val="22"/>
        </w:rPr>
        <w:t xml:space="preserve"> her.</w:t>
      </w:r>
    </w:p>
    <w:p w14:paraId="2F37391C" w14:textId="77777777" w:rsidR="004D5957" w:rsidRDefault="004D5957" w:rsidP="004D5957"/>
    <w:p w14:paraId="12779995" w14:textId="77777777" w:rsidR="004D5957" w:rsidRDefault="004D5957" w:rsidP="004D5957">
      <w:pPr>
        <w:rPr>
          <w:b/>
        </w:rPr>
      </w:pPr>
    </w:p>
    <w:p w14:paraId="114B9CD5" w14:textId="2747D3E3" w:rsidR="004D5957" w:rsidRDefault="004D5957" w:rsidP="004D5957">
      <w:pPr>
        <w:rPr>
          <w:b/>
        </w:rPr>
      </w:pPr>
      <w:r>
        <w:rPr>
          <w:b/>
        </w:rPr>
        <w:t>Erwartungshorizont</w:t>
      </w:r>
    </w:p>
    <w:p w14:paraId="1CCC5798" w14:textId="77777777" w:rsidR="004D5957" w:rsidRDefault="004D5957" w:rsidP="004D5957">
      <w:pPr>
        <w:rPr>
          <w:b/>
        </w:rPr>
      </w:pPr>
    </w:p>
    <w:p w14:paraId="66492F3E" w14:textId="77777777" w:rsidR="004D5957" w:rsidRDefault="004D5957" w:rsidP="004D5957">
      <w:pPr>
        <w:rPr>
          <w:b/>
        </w:rPr>
      </w:pPr>
    </w:p>
    <w:p w14:paraId="20A6533D" w14:textId="77777777" w:rsidR="004D5957" w:rsidRPr="009B24FA" w:rsidRDefault="004D5957" w:rsidP="004D5957">
      <w:pPr>
        <w:rPr>
          <w:sz w:val="20"/>
          <w:szCs w:val="20"/>
        </w:rPr>
      </w:pPr>
      <w:r w:rsidRPr="009B24FA">
        <w:rPr>
          <w:sz w:val="20"/>
          <w:szCs w:val="20"/>
        </w:rPr>
        <w:t>Aufgaben</w:t>
      </w:r>
    </w:p>
    <w:p w14:paraId="27D40C59" w14:textId="77777777" w:rsidR="004D5957" w:rsidRPr="009B24FA" w:rsidRDefault="004D5957" w:rsidP="004D5957">
      <w:pPr>
        <w:rPr>
          <w:sz w:val="20"/>
          <w:szCs w:val="20"/>
        </w:rPr>
      </w:pPr>
    </w:p>
    <w:p w14:paraId="0CEA8D39" w14:textId="77777777" w:rsidR="004D5957" w:rsidRPr="009B24FA" w:rsidRDefault="004D5957" w:rsidP="004D5957">
      <w:pPr>
        <w:pStyle w:val="Listenabsatz"/>
        <w:numPr>
          <w:ilvl w:val="0"/>
          <w:numId w:val="1"/>
        </w:numPr>
        <w:rPr>
          <w:sz w:val="20"/>
          <w:szCs w:val="20"/>
        </w:rPr>
      </w:pPr>
      <w:r w:rsidRPr="009B24FA">
        <w:rPr>
          <w:sz w:val="20"/>
          <w:szCs w:val="20"/>
        </w:rPr>
        <w:t>Beschreiben und analysieren Sie die vorliegenden Werke. Gehen Sie dabei besonders auf die Darstellung der Figuren und ihre Positionierung ein.</w:t>
      </w:r>
    </w:p>
    <w:p w14:paraId="1D3883D9" w14:textId="77777777" w:rsidR="004D5957" w:rsidRPr="009B24FA" w:rsidRDefault="004D5957" w:rsidP="004D5957">
      <w:pPr>
        <w:rPr>
          <w:sz w:val="20"/>
          <w:szCs w:val="20"/>
        </w:rPr>
      </w:pPr>
    </w:p>
    <w:p w14:paraId="1C26E1E4" w14:textId="77777777" w:rsidR="004D5957" w:rsidRPr="009B24FA" w:rsidRDefault="004D5957" w:rsidP="004D5957">
      <w:pPr>
        <w:rPr>
          <w:sz w:val="20"/>
          <w:szCs w:val="20"/>
        </w:rPr>
      </w:pPr>
      <w:r w:rsidRPr="009B24FA">
        <w:rPr>
          <w:sz w:val="20"/>
          <w:szCs w:val="20"/>
        </w:rPr>
        <w:tab/>
      </w:r>
      <w:proofErr w:type="spellStart"/>
      <w:r w:rsidRPr="009B24FA">
        <w:rPr>
          <w:sz w:val="20"/>
          <w:szCs w:val="20"/>
        </w:rPr>
        <w:t>Gormley</w:t>
      </w:r>
      <w:proofErr w:type="spellEnd"/>
      <w:r w:rsidRPr="009B24FA">
        <w:rPr>
          <w:sz w:val="20"/>
          <w:szCs w:val="20"/>
        </w:rPr>
        <w:t>, Time Horizon</w:t>
      </w:r>
    </w:p>
    <w:p w14:paraId="1AB4BB4D" w14:textId="77777777" w:rsidR="004D5957" w:rsidRPr="009B24FA" w:rsidRDefault="004D5957" w:rsidP="004D5957">
      <w:pPr>
        <w:rPr>
          <w:sz w:val="20"/>
          <w:szCs w:val="20"/>
        </w:rPr>
      </w:pPr>
    </w:p>
    <w:p w14:paraId="228239CA" w14:textId="77777777" w:rsidR="004D5957" w:rsidRPr="009B24FA" w:rsidRDefault="004D5957" w:rsidP="004D5957">
      <w:pPr>
        <w:pStyle w:val="Listenabsatz"/>
        <w:rPr>
          <w:sz w:val="20"/>
          <w:szCs w:val="20"/>
        </w:rPr>
      </w:pPr>
      <w:r w:rsidRPr="009B24FA">
        <w:rPr>
          <w:sz w:val="20"/>
          <w:szCs w:val="20"/>
        </w:rPr>
        <w:t xml:space="preserve">zahlreiche gleichartige männliche Figuren aus Eisenguss nach Körperabformungen </w:t>
      </w:r>
      <w:proofErr w:type="spellStart"/>
      <w:r w:rsidRPr="009B24FA">
        <w:rPr>
          <w:sz w:val="20"/>
          <w:szCs w:val="20"/>
        </w:rPr>
        <w:t>Gormleys</w:t>
      </w:r>
      <w:proofErr w:type="spellEnd"/>
      <w:r w:rsidRPr="009B24FA">
        <w:rPr>
          <w:sz w:val="20"/>
          <w:szCs w:val="20"/>
        </w:rPr>
        <w:t xml:space="preserve">, aufgestellt in einem archäologischen Park, verteilt über einen größeren räumlichen Zusammenhang zwischen den Ausgrabungen und Olivenhainen , unterschiedliche Ausrichtung und Positionierung auf scheinbar verschiedenen Höhen im Verhältnis zum realen Boden (vom Eingraben bis zum Hals bis zur Erhöhung </w:t>
      </w:r>
      <w:r w:rsidRPr="009B24FA">
        <w:rPr>
          <w:sz w:val="20"/>
          <w:szCs w:val="20"/>
        </w:rPr>
        <w:lastRenderedPageBreak/>
        <w:t>auf Betonsockeln um fast eine Köperhöhe), leicht abstrahierte Körperformen durch Abformung, sichtbare Ansätze der ehemaligen Gusskanäle</w:t>
      </w:r>
    </w:p>
    <w:p w14:paraId="78EFB26D" w14:textId="77777777" w:rsidR="004D5957" w:rsidRPr="009B24FA" w:rsidRDefault="004D5957" w:rsidP="004D5957">
      <w:pPr>
        <w:pStyle w:val="Listenabsatz"/>
        <w:rPr>
          <w:sz w:val="20"/>
          <w:szCs w:val="20"/>
        </w:rPr>
      </w:pPr>
    </w:p>
    <w:p w14:paraId="1E9CFAB5" w14:textId="77777777" w:rsidR="004D5957" w:rsidRPr="009B24FA" w:rsidRDefault="004D5957" w:rsidP="004D5957">
      <w:pPr>
        <w:rPr>
          <w:sz w:val="20"/>
          <w:szCs w:val="20"/>
        </w:rPr>
      </w:pPr>
      <w:r w:rsidRPr="009B24FA">
        <w:rPr>
          <w:sz w:val="20"/>
          <w:szCs w:val="20"/>
        </w:rPr>
        <w:tab/>
        <w:t>Giacometti, Platz</w:t>
      </w:r>
    </w:p>
    <w:p w14:paraId="074AB604" w14:textId="77777777" w:rsidR="004D5957" w:rsidRPr="009B24FA" w:rsidRDefault="004D5957" w:rsidP="004D5957">
      <w:pPr>
        <w:rPr>
          <w:sz w:val="20"/>
          <w:szCs w:val="20"/>
        </w:rPr>
      </w:pPr>
    </w:p>
    <w:p w14:paraId="58357D23" w14:textId="77777777" w:rsidR="004D5957" w:rsidRPr="009B24FA" w:rsidRDefault="004D5957" w:rsidP="004D5957">
      <w:pPr>
        <w:pStyle w:val="Listenabsatz"/>
        <w:rPr>
          <w:sz w:val="20"/>
          <w:szCs w:val="20"/>
        </w:rPr>
      </w:pPr>
      <w:r w:rsidRPr="009B24FA">
        <w:rPr>
          <w:sz w:val="20"/>
          <w:szCs w:val="20"/>
        </w:rPr>
        <w:t>drei dünne, überlange Figuren und ein Kopf, in gleicher frontaler Ausrichtung positioniert auf einer gebogenen, rechteckigen Sockelplatte mit kurzen „Füßen“ an den Ecken, kein einheitlicher Maßstab und keine räumlich-logische Aufstellung, stark abstrahierte Formensprache sowie Größenunterschiede suggerieren Distanz, starre und geschlossene Körperhaltung, Zeichenhaftigkeit</w:t>
      </w:r>
    </w:p>
    <w:p w14:paraId="170E7EB6" w14:textId="77777777" w:rsidR="004D5957" w:rsidRPr="009B24FA" w:rsidRDefault="004D5957" w:rsidP="004D5957">
      <w:pPr>
        <w:rPr>
          <w:b/>
          <w:sz w:val="20"/>
          <w:szCs w:val="20"/>
        </w:rPr>
      </w:pPr>
    </w:p>
    <w:p w14:paraId="221FBB2D" w14:textId="77777777" w:rsidR="004D5957" w:rsidRPr="009B24FA" w:rsidRDefault="004D5957" w:rsidP="004D5957">
      <w:pPr>
        <w:pStyle w:val="Listenabsatz"/>
        <w:numPr>
          <w:ilvl w:val="0"/>
          <w:numId w:val="1"/>
        </w:numPr>
        <w:tabs>
          <w:tab w:val="left" w:pos="1414"/>
        </w:tabs>
        <w:rPr>
          <w:sz w:val="20"/>
          <w:szCs w:val="20"/>
        </w:rPr>
      </w:pPr>
      <w:r w:rsidRPr="009B24FA">
        <w:rPr>
          <w:sz w:val="20"/>
          <w:szCs w:val="20"/>
        </w:rPr>
        <w:t>Deuten Sie die beiden Werke vergleichend. Inwiefern lässt sich bei beiden eine Verkörperung von Raum und Zeit erkennen?</w:t>
      </w:r>
    </w:p>
    <w:p w14:paraId="365C6386" w14:textId="77777777" w:rsidR="004D5957" w:rsidRPr="009B24FA" w:rsidRDefault="004D5957" w:rsidP="004D5957">
      <w:pPr>
        <w:tabs>
          <w:tab w:val="left" w:pos="1414"/>
        </w:tabs>
        <w:rPr>
          <w:sz w:val="20"/>
          <w:szCs w:val="20"/>
        </w:rPr>
      </w:pPr>
    </w:p>
    <w:p w14:paraId="1162CBAC" w14:textId="77777777" w:rsidR="004D5957" w:rsidRPr="009B24FA" w:rsidRDefault="004D5957" w:rsidP="004D5957">
      <w:pPr>
        <w:pStyle w:val="Listenabsatz"/>
        <w:rPr>
          <w:sz w:val="20"/>
          <w:szCs w:val="20"/>
        </w:rPr>
      </w:pPr>
      <w:r w:rsidRPr="009B24FA">
        <w:rPr>
          <w:sz w:val="20"/>
          <w:szCs w:val="20"/>
        </w:rPr>
        <w:t>zentral bei beiden: Wirkung von Skulptur (Figur) im Raum , abstrahierte und damit universell wirkende menschliche Figur, Zeichensetzung, aber Infragestellen der Orientierungsfunktion von Zeichen, Aktivierung des jeweiligen Ortes / der Oberfläche, bei Time Horizon („Zeit-Horizont“) bewusste Bezugnahme auf die Situation der antiken Ausgrabung (Bodenniveau, historische Zeitdimension), physische Erfahrbarkeit von Zeit durch Erzeugen einer über die Köpfe definierten imaginären Fläche, die sich über das ganze Gebiet erstreckt; bei „Platz“ Irritation und Relativierung bestehender Raum-Zeit-Kontinuität, Umkehrungen der Wahrnehmung (zunehmende „Unschärfe“ bei Annäherung, Auflösung statt Konkretisierung), fragiles, existentiell bedroht wirkendes Menschenbild</w:t>
      </w:r>
      <w:r w:rsidRPr="009B24FA">
        <w:rPr>
          <w:sz w:val="20"/>
          <w:szCs w:val="20"/>
        </w:rPr>
        <w:tab/>
      </w:r>
    </w:p>
    <w:p w14:paraId="162C3D9C" w14:textId="77777777" w:rsidR="004D5957" w:rsidRPr="009B24FA" w:rsidRDefault="004D5957" w:rsidP="004D5957">
      <w:pPr>
        <w:pStyle w:val="Listenabsatz"/>
        <w:rPr>
          <w:sz w:val="20"/>
          <w:szCs w:val="20"/>
        </w:rPr>
      </w:pPr>
    </w:p>
    <w:p w14:paraId="3A443F06" w14:textId="77777777" w:rsidR="004D5957" w:rsidRPr="009B24FA" w:rsidRDefault="004D5957" w:rsidP="004D5957">
      <w:pPr>
        <w:rPr>
          <w:sz w:val="20"/>
          <w:szCs w:val="20"/>
        </w:rPr>
      </w:pPr>
    </w:p>
    <w:p w14:paraId="6732893E" w14:textId="77777777" w:rsidR="004D5957" w:rsidRPr="009B24FA" w:rsidRDefault="004D5957" w:rsidP="004D5957">
      <w:pPr>
        <w:rPr>
          <w:sz w:val="20"/>
          <w:szCs w:val="20"/>
        </w:rPr>
      </w:pPr>
    </w:p>
    <w:p w14:paraId="18C7F4FB" w14:textId="77777777" w:rsidR="004D5957" w:rsidRPr="009B24FA" w:rsidRDefault="004D5957" w:rsidP="004D5957">
      <w:pPr>
        <w:rPr>
          <w:sz w:val="20"/>
          <w:szCs w:val="20"/>
        </w:rPr>
      </w:pPr>
    </w:p>
    <w:p w14:paraId="4A0DF269" w14:textId="77777777" w:rsidR="004D5957" w:rsidRPr="009B24FA" w:rsidRDefault="004D5957" w:rsidP="004D5957">
      <w:pPr>
        <w:rPr>
          <w:sz w:val="20"/>
          <w:szCs w:val="20"/>
        </w:rPr>
      </w:pPr>
      <w:r w:rsidRPr="009B24FA">
        <w:rPr>
          <w:sz w:val="20"/>
          <w:szCs w:val="20"/>
        </w:rPr>
        <w:t>Mögliche Erweiterung oder Fortführung der Prüfung</w:t>
      </w:r>
    </w:p>
    <w:p w14:paraId="14198CF3" w14:textId="77777777" w:rsidR="004D5957" w:rsidRPr="009B24FA" w:rsidRDefault="004D5957" w:rsidP="004D5957">
      <w:pPr>
        <w:rPr>
          <w:sz w:val="20"/>
          <w:szCs w:val="20"/>
        </w:rPr>
      </w:pPr>
    </w:p>
    <w:p w14:paraId="334101D9" w14:textId="77777777" w:rsidR="004D5957" w:rsidRPr="009B24FA" w:rsidRDefault="004D5957" w:rsidP="004D5957">
      <w:pPr>
        <w:rPr>
          <w:sz w:val="20"/>
          <w:szCs w:val="20"/>
        </w:rPr>
      </w:pPr>
    </w:p>
    <w:p w14:paraId="5FF0A4D1" w14:textId="77777777" w:rsidR="004D5957" w:rsidRPr="009B24FA" w:rsidRDefault="004D5957" w:rsidP="004D5957">
      <w:pPr>
        <w:rPr>
          <w:sz w:val="20"/>
          <w:szCs w:val="20"/>
        </w:rPr>
      </w:pPr>
      <w:proofErr w:type="spellStart"/>
      <w:r w:rsidRPr="009B24FA">
        <w:rPr>
          <w:sz w:val="20"/>
          <w:szCs w:val="20"/>
        </w:rPr>
        <w:t>Gormley</w:t>
      </w:r>
      <w:proofErr w:type="spellEnd"/>
      <w:r w:rsidRPr="009B24FA">
        <w:rPr>
          <w:sz w:val="20"/>
          <w:szCs w:val="20"/>
        </w:rPr>
        <w:t>, Horizon Field, Bregenzer Wald, 2010 -2012</w:t>
      </w:r>
    </w:p>
    <w:p w14:paraId="2DEFCE9A" w14:textId="77777777" w:rsidR="004D5957" w:rsidRPr="009B24FA" w:rsidRDefault="004D5957" w:rsidP="004D5957">
      <w:pPr>
        <w:rPr>
          <w:sz w:val="20"/>
          <w:szCs w:val="20"/>
        </w:rPr>
      </w:pPr>
    </w:p>
    <w:p w14:paraId="63D5BA44" w14:textId="77777777" w:rsidR="004D5957" w:rsidRPr="009B24FA" w:rsidRDefault="004D5957" w:rsidP="004D5957">
      <w:pPr>
        <w:rPr>
          <w:sz w:val="20"/>
          <w:szCs w:val="20"/>
        </w:rPr>
      </w:pPr>
      <w:r w:rsidRPr="009B24FA">
        <w:rPr>
          <w:sz w:val="20"/>
          <w:szCs w:val="20"/>
        </w:rPr>
        <w:t xml:space="preserve">Erläutern Sie Gemeinsamkeiten und Unterschiede in Bezug auf „Time Horizon“. </w:t>
      </w:r>
    </w:p>
    <w:p w14:paraId="1957B81E" w14:textId="77777777" w:rsidR="004D5957" w:rsidRPr="009B24FA" w:rsidRDefault="004D5957" w:rsidP="004D5957">
      <w:pPr>
        <w:tabs>
          <w:tab w:val="left" w:pos="1414"/>
        </w:tabs>
        <w:rPr>
          <w:b/>
          <w:sz w:val="20"/>
          <w:szCs w:val="20"/>
        </w:rPr>
      </w:pPr>
    </w:p>
    <w:p w14:paraId="553F2293" w14:textId="77777777" w:rsidR="004D5957" w:rsidRPr="009B24FA" w:rsidRDefault="004D5957" w:rsidP="004D5957">
      <w:pPr>
        <w:pStyle w:val="Listenabsatz"/>
        <w:rPr>
          <w:sz w:val="20"/>
          <w:szCs w:val="20"/>
        </w:rPr>
      </w:pPr>
      <w:r w:rsidRPr="009B24FA">
        <w:rPr>
          <w:sz w:val="20"/>
          <w:szCs w:val="20"/>
        </w:rPr>
        <w:t>gleiche Figuren (Form, Herstellung, Vielzahl), gleiches Prinzip der Aufstellung in Landschafts- / Naturraum durch absolute, festgelegte Höhe, Positionierung ebenfalls ohne direkte Bezugnahme unter den Figuren, aber ohne Sockel, ohne Eingraben, nur durch Wahl der richtigen Meereshöhe der Aufstellungsorte, Berglandschaft (Mensch – Natur) vs. Kulturlandschaft (Antike – Moderne), Betonung der Natur, ihrer Dimension und Bedeutung im Vergleich zum Menschen, temporäre Aufstellung betonen das Vorher-Nachher und damit die zeitliche Begrenztheit, Erzeugung zufälliger Begegnungen von Wanderern und Skifahrern mit der Kunst</w:t>
      </w:r>
    </w:p>
    <w:p w14:paraId="721E4CC6" w14:textId="77777777" w:rsidR="004D5957" w:rsidRPr="009B24FA" w:rsidRDefault="004D5957" w:rsidP="004D5957">
      <w:pPr>
        <w:pStyle w:val="Listenabsatz"/>
        <w:rPr>
          <w:sz w:val="20"/>
          <w:szCs w:val="20"/>
        </w:rPr>
      </w:pPr>
    </w:p>
    <w:p w14:paraId="0F742CF0" w14:textId="77777777" w:rsidR="004D5957" w:rsidRPr="009B24FA" w:rsidRDefault="004D5957" w:rsidP="004D5957">
      <w:pPr>
        <w:pStyle w:val="Listenabsatz"/>
        <w:rPr>
          <w:sz w:val="20"/>
          <w:szCs w:val="20"/>
        </w:rPr>
      </w:pPr>
    </w:p>
    <w:p w14:paraId="76ECA0F7" w14:textId="77777777" w:rsidR="004D5957" w:rsidRPr="009B24FA" w:rsidRDefault="004D5957" w:rsidP="004D5957">
      <w:pPr>
        <w:tabs>
          <w:tab w:val="left" w:pos="1414"/>
        </w:tabs>
        <w:rPr>
          <w:sz w:val="20"/>
          <w:szCs w:val="20"/>
        </w:rPr>
      </w:pPr>
    </w:p>
    <w:p w14:paraId="6EE82342" w14:textId="77777777" w:rsidR="004D5957" w:rsidRPr="009B24FA" w:rsidRDefault="004D5957" w:rsidP="004D5957">
      <w:pPr>
        <w:tabs>
          <w:tab w:val="left" w:pos="1414"/>
        </w:tabs>
        <w:rPr>
          <w:sz w:val="20"/>
          <w:szCs w:val="20"/>
        </w:rPr>
      </w:pPr>
      <w:r w:rsidRPr="009B24FA">
        <w:rPr>
          <w:sz w:val="20"/>
          <w:szCs w:val="20"/>
        </w:rPr>
        <w:t>Oder:</w:t>
      </w:r>
    </w:p>
    <w:p w14:paraId="5A9D7ACF" w14:textId="77777777" w:rsidR="004D5957" w:rsidRPr="009B24FA" w:rsidRDefault="004D5957" w:rsidP="004D5957">
      <w:pPr>
        <w:tabs>
          <w:tab w:val="left" w:pos="1414"/>
        </w:tabs>
        <w:rPr>
          <w:sz w:val="20"/>
          <w:szCs w:val="20"/>
        </w:rPr>
      </w:pPr>
    </w:p>
    <w:p w14:paraId="667D3D53" w14:textId="77777777" w:rsidR="004D5957" w:rsidRPr="009B24FA" w:rsidRDefault="004D5957" w:rsidP="004D5957">
      <w:pPr>
        <w:tabs>
          <w:tab w:val="left" w:pos="1414"/>
        </w:tabs>
        <w:rPr>
          <w:sz w:val="20"/>
          <w:szCs w:val="20"/>
        </w:rPr>
      </w:pPr>
      <w:r w:rsidRPr="009B24FA">
        <w:rPr>
          <w:sz w:val="20"/>
          <w:szCs w:val="20"/>
        </w:rPr>
        <w:t xml:space="preserve">Nike von </w:t>
      </w:r>
      <w:proofErr w:type="spellStart"/>
      <w:r w:rsidRPr="009B24FA">
        <w:rPr>
          <w:sz w:val="20"/>
          <w:szCs w:val="20"/>
        </w:rPr>
        <w:t>Samothrake</w:t>
      </w:r>
      <w:proofErr w:type="spellEnd"/>
    </w:p>
    <w:p w14:paraId="6DA68918" w14:textId="77777777" w:rsidR="004D5957" w:rsidRPr="009B24FA" w:rsidRDefault="004D5957" w:rsidP="004D5957">
      <w:pPr>
        <w:tabs>
          <w:tab w:val="left" w:pos="1414"/>
        </w:tabs>
        <w:rPr>
          <w:sz w:val="20"/>
          <w:szCs w:val="20"/>
        </w:rPr>
      </w:pPr>
    </w:p>
    <w:p w14:paraId="28E645CC" w14:textId="77777777" w:rsidR="004D5957" w:rsidRPr="009B24FA" w:rsidRDefault="004D5957" w:rsidP="004D5957">
      <w:pPr>
        <w:rPr>
          <w:sz w:val="20"/>
          <w:szCs w:val="20"/>
        </w:rPr>
      </w:pPr>
      <w:r w:rsidRPr="009B24FA">
        <w:rPr>
          <w:sz w:val="20"/>
          <w:szCs w:val="20"/>
        </w:rPr>
        <w:t>Erläutern Sie wesentliche Gestaltung</w:t>
      </w:r>
      <w:bookmarkStart w:id="0" w:name="_GoBack"/>
      <w:bookmarkEnd w:id="0"/>
      <w:r w:rsidRPr="009B24FA">
        <w:rPr>
          <w:sz w:val="20"/>
          <w:szCs w:val="20"/>
        </w:rPr>
        <w:t xml:space="preserve">smerkmale dieser hellenistischen Figur einer Siegesgöttin. Gehen Sie auf den möglichen Aufstellungsort ein und stellen Sie Bezüge zu den Werken von Giacometti und </w:t>
      </w:r>
      <w:proofErr w:type="spellStart"/>
      <w:r w:rsidRPr="009B24FA">
        <w:rPr>
          <w:sz w:val="20"/>
          <w:szCs w:val="20"/>
        </w:rPr>
        <w:t>Gormley</w:t>
      </w:r>
      <w:proofErr w:type="spellEnd"/>
      <w:r w:rsidRPr="009B24FA">
        <w:rPr>
          <w:sz w:val="20"/>
          <w:szCs w:val="20"/>
        </w:rPr>
        <w:t xml:space="preserve"> her.</w:t>
      </w:r>
    </w:p>
    <w:p w14:paraId="25106220" w14:textId="77777777" w:rsidR="004D5957" w:rsidRPr="009B24FA" w:rsidRDefault="004D5957" w:rsidP="004D5957">
      <w:pPr>
        <w:tabs>
          <w:tab w:val="left" w:pos="1414"/>
        </w:tabs>
        <w:rPr>
          <w:sz w:val="20"/>
          <w:szCs w:val="20"/>
        </w:rPr>
      </w:pPr>
    </w:p>
    <w:p w14:paraId="5DDAF9CF" w14:textId="5C6B0570" w:rsidR="004D5957" w:rsidRPr="009B24FA" w:rsidRDefault="004D5957" w:rsidP="004D5957">
      <w:pPr>
        <w:pStyle w:val="Listenabsatz"/>
        <w:numPr>
          <w:ilvl w:val="0"/>
          <w:numId w:val="3"/>
        </w:numPr>
        <w:ind w:left="808"/>
        <w:rPr>
          <w:sz w:val="20"/>
          <w:szCs w:val="20"/>
        </w:rPr>
      </w:pPr>
      <w:r w:rsidRPr="009B24FA">
        <w:rPr>
          <w:sz w:val="20"/>
          <w:szCs w:val="20"/>
        </w:rPr>
        <w:t xml:space="preserve">weibliche Figur mit Flügeln in dynamischer Schrittstellung, dünnes Gewand lässt den kraftvollen Köper deutlich erahnen, lebhafte Wirkung durch gegenläufige Bewegung / Drehung (Schulter – Hüfte) und zahlreiche, fein ausgearbeitete Gewandfalten, unterschiedlich verlaufende Richtungen, fragmentarisch durch fehlenden Kopf, Betonung der Vorwärtsbewegung, Positionierung auf massivem, in seiner Form an ein Schiff erinnernden Sockel, Siegesgöttin auf dem Bug eines Schiffes, aufgestellt als Weihegabe am höchsten Punkt des Seeheiligtums der Insel </w:t>
      </w:r>
      <w:proofErr w:type="spellStart"/>
      <w:r w:rsidRPr="009B24FA">
        <w:rPr>
          <w:sz w:val="20"/>
          <w:szCs w:val="20"/>
        </w:rPr>
        <w:t>Samothrake</w:t>
      </w:r>
      <w:proofErr w:type="spellEnd"/>
      <w:r w:rsidRPr="009B24FA">
        <w:rPr>
          <w:sz w:val="20"/>
          <w:szCs w:val="20"/>
        </w:rPr>
        <w:t xml:space="preserve"> mit dem Ziel dramatischer Inszenierung und Verkörperung von Göttergunst und Macht</w:t>
      </w:r>
    </w:p>
    <w:p w14:paraId="34AE5BC2" w14:textId="77777777" w:rsidR="004D5957" w:rsidRPr="009B24FA" w:rsidRDefault="004D5957" w:rsidP="004D5957">
      <w:pPr>
        <w:pStyle w:val="Listenabsatz"/>
        <w:numPr>
          <w:ilvl w:val="0"/>
          <w:numId w:val="2"/>
        </w:numPr>
        <w:tabs>
          <w:tab w:val="left" w:pos="1414"/>
        </w:tabs>
        <w:ind w:left="788"/>
        <w:rPr>
          <w:sz w:val="20"/>
          <w:szCs w:val="20"/>
        </w:rPr>
      </w:pPr>
      <w:r w:rsidRPr="009B24FA">
        <w:rPr>
          <w:sz w:val="20"/>
          <w:szCs w:val="20"/>
        </w:rPr>
        <w:t xml:space="preserve">im Gegensatz zu den Figuren Giacomettis und </w:t>
      </w:r>
      <w:proofErr w:type="spellStart"/>
      <w:r w:rsidRPr="009B24FA">
        <w:rPr>
          <w:sz w:val="20"/>
          <w:szCs w:val="20"/>
        </w:rPr>
        <w:t>Gormleys</w:t>
      </w:r>
      <w:proofErr w:type="spellEnd"/>
      <w:r w:rsidRPr="009B24FA">
        <w:rPr>
          <w:sz w:val="20"/>
          <w:szCs w:val="20"/>
        </w:rPr>
        <w:t xml:space="preserve"> konkreter mythologischer Bezug, Verkörperung einer bestimmten Idee, verbunden mit einer bestimmten Funktion, Zeitaspekt eher als Ewigkeitsanspruch der Überdauerung</w:t>
      </w:r>
    </w:p>
    <w:p w14:paraId="2002F373" w14:textId="77777777" w:rsidR="004D5957" w:rsidRPr="009B24FA" w:rsidRDefault="004D5957" w:rsidP="004D5957">
      <w:pPr>
        <w:pStyle w:val="Listenabsatz"/>
        <w:numPr>
          <w:ilvl w:val="0"/>
          <w:numId w:val="2"/>
        </w:numPr>
        <w:tabs>
          <w:tab w:val="left" w:pos="1414"/>
        </w:tabs>
        <w:ind w:left="788"/>
        <w:rPr>
          <w:sz w:val="20"/>
          <w:szCs w:val="20"/>
        </w:rPr>
      </w:pPr>
      <w:r w:rsidRPr="009B24FA">
        <w:rPr>
          <w:sz w:val="20"/>
          <w:szCs w:val="20"/>
        </w:rPr>
        <w:t xml:space="preserve">Bei </w:t>
      </w:r>
      <w:proofErr w:type="spellStart"/>
      <w:r w:rsidRPr="009B24FA">
        <w:rPr>
          <w:sz w:val="20"/>
          <w:szCs w:val="20"/>
        </w:rPr>
        <w:t>Gormley</w:t>
      </w:r>
      <w:proofErr w:type="spellEnd"/>
      <w:r w:rsidRPr="009B24FA">
        <w:rPr>
          <w:sz w:val="20"/>
          <w:szCs w:val="20"/>
        </w:rPr>
        <w:t xml:space="preserve"> und Giacometti steht hingegen das Infragestellen zeitlicher, historischer und existentieller Positionen im Zentrum.</w:t>
      </w:r>
    </w:p>
    <w:p w14:paraId="76FE0AB0" w14:textId="77777777" w:rsidR="006F7335" w:rsidRDefault="006F7335"/>
    <w:sectPr w:rsidR="006F7335" w:rsidSect="004D5957">
      <w:pgSz w:w="11900" w:h="16840"/>
      <w:pgMar w:top="851" w:right="84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01C"/>
    <w:multiLevelType w:val="hybridMultilevel"/>
    <w:tmpl w:val="D8B09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30529F"/>
    <w:multiLevelType w:val="hybridMultilevel"/>
    <w:tmpl w:val="07CEB878"/>
    <w:lvl w:ilvl="0" w:tplc="E8B03906">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2891FE0"/>
    <w:multiLevelType w:val="hybridMultilevel"/>
    <w:tmpl w:val="6F8CE7E2"/>
    <w:lvl w:ilvl="0" w:tplc="DF066894">
      <w:numFmt w:val="bullet"/>
      <w:lvlText w:val="-"/>
      <w:lvlJc w:val="left"/>
      <w:pPr>
        <w:ind w:left="1060" w:hanging="360"/>
      </w:pPr>
      <w:rPr>
        <w:rFonts w:ascii="Arial" w:eastAsiaTheme="minorEastAsia" w:hAnsi="Arial" w:cstheme="minorBidi" w:hint="default"/>
        <w:b w:val="0"/>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CA5"/>
    <w:rsid w:val="000A6C7A"/>
    <w:rsid w:val="00227309"/>
    <w:rsid w:val="002F4B13"/>
    <w:rsid w:val="004B2DE1"/>
    <w:rsid w:val="004D5957"/>
    <w:rsid w:val="00625015"/>
    <w:rsid w:val="006F7335"/>
    <w:rsid w:val="00702F94"/>
    <w:rsid w:val="007373F4"/>
    <w:rsid w:val="00763440"/>
    <w:rsid w:val="00915551"/>
    <w:rsid w:val="0091561D"/>
    <w:rsid w:val="009B24FA"/>
    <w:rsid w:val="00A42495"/>
    <w:rsid w:val="00C33CA5"/>
    <w:rsid w:val="00CC5586"/>
    <w:rsid w:val="00EF32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052D9"/>
  <w14:defaultImageDpi w14:val="300"/>
  <w15:docId w15:val="{A52ADFB3-E167-4ABD-8815-67D02BB9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4605</Characters>
  <Application>Microsoft Office Word</Application>
  <DocSecurity>0</DocSecurity>
  <Lines>38</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TB_web</cp:lastModifiedBy>
  <cp:revision>4</cp:revision>
  <dcterms:created xsi:type="dcterms:W3CDTF">2020-01-27T09:35:00Z</dcterms:created>
  <dcterms:modified xsi:type="dcterms:W3CDTF">2020-01-27T09:52:00Z</dcterms:modified>
</cp:coreProperties>
</file>