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DE" w:rsidRDefault="009052DE" w:rsidP="009052DE">
      <w:pPr>
        <w:pStyle w:val="berschrift1"/>
      </w:pPr>
      <w:r>
        <w:t>Übersicht – Was bleibt? Was ist neu?</w:t>
      </w:r>
    </w:p>
    <w:p w:rsidR="009052DE" w:rsidRDefault="009052DE" w:rsidP="009052DE"/>
    <w:tbl>
      <w:tblPr>
        <w:tblW w:w="5000" w:type="pct"/>
        <w:tblCellSpacing w:w="0" w:type="dxa"/>
        <w:tblBorders>
          <w:top w:val="outset" w:sz="6" w:space="0" w:color="012641"/>
          <w:left w:val="outset" w:sz="6" w:space="0" w:color="012641"/>
          <w:bottom w:val="outset" w:sz="6" w:space="0" w:color="012641"/>
          <w:right w:val="outset" w:sz="6" w:space="0" w:color="012641"/>
        </w:tblBorders>
        <w:tblCellMar>
          <w:top w:w="120" w:type="dxa"/>
          <w:left w:w="120" w:type="dxa"/>
          <w:bottom w:w="120" w:type="dxa"/>
          <w:right w:w="120" w:type="dxa"/>
        </w:tblCellMar>
        <w:tblLook w:val="04A0" w:firstRow="1" w:lastRow="0" w:firstColumn="1" w:lastColumn="0" w:noHBand="0" w:noVBand="1"/>
      </w:tblPr>
      <w:tblGrid>
        <w:gridCol w:w="9340"/>
      </w:tblGrid>
      <w:tr w:rsidR="009052DE" w:rsidTr="00674BDE">
        <w:trPr>
          <w:tblCellSpacing w:w="0" w:type="dxa"/>
        </w:trPr>
        <w:tc>
          <w:tcPr>
            <w:tcW w:w="0" w:type="auto"/>
            <w:tcBorders>
              <w:top w:val="outset" w:sz="6" w:space="0" w:color="012641"/>
              <w:left w:val="outset" w:sz="6" w:space="0" w:color="012641"/>
              <w:bottom w:val="outset" w:sz="6" w:space="0" w:color="012641"/>
              <w:right w:val="outset" w:sz="6" w:space="0" w:color="012641"/>
            </w:tcBorders>
            <w:shd w:val="clear" w:color="auto" w:fill="B9D1EB"/>
            <w:vAlign w:val="center"/>
            <w:hideMark/>
          </w:tcPr>
          <w:p w:rsidR="009052DE" w:rsidRDefault="009052DE" w:rsidP="00674BDE">
            <w:pPr>
              <w:rPr>
                <w:szCs w:val="24"/>
              </w:rPr>
            </w:pPr>
            <w:r>
              <w:rPr>
                <w:rStyle w:val="Fett"/>
              </w:rPr>
              <w:t>Hinweis:</w:t>
            </w:r>
            <w:r>
              <w:br/>
              <w:t xml:space="preserve">Eine Präsentation zur Einführung finden Sie </w:t>
            </w:r>
            <w:hyperlink r:id="rId8" w:history="1">
              <w:r>
                <w:rPr>
                  <w:rStyle w:val="Hyperlink"/>
                </w:rPr>
                <w:t>hier als Download</w:t>
              </w:r>
            </w:hyperlink>
          </w:p>
        </w:tc>
      </w:tr>
    </w:tbl>
    <w:p w:rsidR="009052DE" w:rsidRDefault="009052DE" w:rsidP="009052DE">
      <w:pPr>
        <w:pStyle w:val="berschrift3"/>
      </w:pPr>
      <w:r>
        <w:t xml:space="preserve">Was </w:t>
      </w:r>
      <w:proofErr w:type="gramStart"/>
      <w:r>
        <w:t>bleibt ?</w:t>
      </w:r>
      <w:proofErr w:type="gramEnd"/>
    </w:p>
    <w:p w:rsidR="009052DE" w:rsidRDefault="009052DE" w:rsidP="009052DE">
      <w:pPr>
        <w:numPr>
          <w:ilvl w:val="0"/>
          <w:numId w:val="1"/>
        </w:numPr>
        <w:spacing w:before="100" w:beforeAutospacing="1" w:after="100" w:afterAutospacing="1"/>
      </w:pPr>
      <w:r>
        <w:t>Doppelauftrag des Schulsports</w:t>
      </w:r>
    </w:p>
    <w:p w:rsidR="009052DE" w:rsidRDefault="009052DE" w:rsidP="009052DE">
      <w:pPr>
        <w:numPr>
          <w:ilvl w:val="0"/>
          <w:numId w:val="1"/>
        </w:numPr>
        <w:spacing w:before="100" w:beforeAutospacing="1" w:after="100" w:afterAutospacing="1"/>
      </w:pPr>
      <w:r>
        <w:t>Mehrperspektivität</w:t>
      </w:r>
    </w:p>
    <w:p w:rsidR="009052DE" w:rsidRDefault="009052DE" w:rsidP="009052DE">
      <w:pPr>
        <w:numPr>
          <w:ilvl w:val="0"/>
          <w:numId w:val="1"/>
        </w:numPr>
        <w:spacing w:before="100" w:beforeAutospacing="1" w:after="100" w:afterAutospacing="1"/>
      </w:pPr>
      <w:r>
        <w:t>Output-Orientierung</w:t>
      </w:r>
    </w:p>
    <w:p w:rsidR="009052DE" w:rsidRDefault="009052DE" w:rsidP="009052DE">
      <w:pPr>
        <w:numPr>
          <w:ilvl w:val="0"/>
          <w:numId w:val="1"/>
        </w:numPr>
        <w:spacing w:before="100" w:beforeAutospacing="1" w:after="100" w:afterAutospacing="1"/>
      </w:pPr>
      <w:r>
        <w:t>Kompetenzorientierung</w:t>
      </w:r>
    </w:p>
    <w:p w:rsidR="009052DE" w:rsidRDefault="009052DE" w:rsidP="009052DE">
      <w:pPr>
        <w:numPr>
          <w:ilvl w:val="0"/>
          <w:numId w:val="1"/>
        </w:numPr>
        <w:spacing w:before="100" w:beforeAutospacing="1" w:after="100" w:afterAutospacing="1"/>
      </w:pPr>
      <w:r>
        <w:t>Kern- und Schulcurriculum</w:t>
      </w:r>
    </w:p>
    <w:p w:rsidR="009052DE" w:rsidRDefault="009052DE" w:rsidP="009052DE">
      <w:pPr>
        <w:pStyle w:val="berschrift3"/>
      </w:pPr>
      <w:r>
        <w:t>Was ist neu?</w:t>
      </w:r>
    </w:p>
    <w:p w:rsidR="009052DE" w:rsidRDefault="009052DE" w:rsidP="009052DE">
      <w:pPr>
        <w:numPr>
          <w:ilvl w:val="0"/>
          <w:numId w:val="2"/>
        </w:numPr>
        <w:spacing w:before="100" w:beforeAutospacing="1" w:after="100" w:afterAutospacing="1"/>
      </w:pPr>
      <w:r>
        <w:t>Zwei-Ebenen-Modell aus prozessbezogenen und inhaltsbezogenen Komp</w:t>
      </w:r>
      <w:r>
        <w:t>e</w:t>
      </w:r>
      <w:r>
        <w:t>tenzen</w:t>
      </w:r>
      <w:bookmarkStart w:id="0" w:name="_GoBack"/>
      <w:bookmarkEnd w:id="0"/>
    </w:p>
    <w:p w:rsidR="009052DE" w:rsidRDefault="009052DE" w:rsidP="009052DE">
      <w:pPr>
        <w:numPr>
          <w:ilvl w:val="0"/>
          <w:numId w:val="2"/>
        </w:numPr>
        <w:spacing w:before="100" w:beforeAutospacing="1" w:after="100" w:afterAutospacing="1"/>
      </w:pPr>
      <w:r>
        <w:t>Handlungskompetenz ergibt sich aus Bewegungs-, Reflexions-</w:t>
      </w:r>
      <w:r>
        <w:t xml:space="preserve"> und Urteils -</w:t>
      </w:r>
      <w:r>
        <w:t>,Personal- und Sozialkompetenz</w:t>
      </w:r>
    </w:p>
    <w:p w:rsidR="009052DE" w:rsidRDefault="009052DE" w:rsidP="009052DE">
      <w:pPr>
        <w:numPr>
          <w:ilvl w:val="0"/>
          <w:numId w:val="2"/>
        </w:numPr>
        <w:spacing w:before="100" w:beforeAutospacing="1" w:after="100" w:afterAutospacing="1"/>
      </w:pPr>
      <w:r>
        <w:t xml:space="preserve">höhere Verbindlichkeit der </w:t>
      </w:r>
      <w:r>
        <w:t>s</w:t>
      </w:r>
      <w:r>
        <w:t>portpädagogischen Perspektiven als didaktische Intentionen</w:t>
      </w:r>
    </w:p>
    <w:p w:rsidR="009052DE" w:rsidRDefault="009052DE" w:rsidP="009052DE">
      <w:pPr>
        <w:numPr>
          <w:ilvl w:val="0"/>
          <w:numId w:val="2"/>
        </w:numPr>
        <w:spacing w:before="100" w:beforeAutospacing="1" w:after="100" w:afterAutospacing="1"/>
      </w:pPr>
      <w:r>
        <w:t>8 Inhaltsbereiche anstelle von Sportarten</w:t>
      </w:r>
    </w:p>
    <w:p w:rsidR="009052DE" w:rsidRDefault="009052DE" w:rsidP="009052DE">
      <w:pPr>
        <w:numPr>
          <w:ilvl w:val="0"/>
          <w:numId w:val="2"/>
        </w:numPr>
        <w:spacing w:before="100" w:beforeAutospacing="1" w:after="100" w:afterAutospacing="1"/>
      </w:pPr>
      <w:r>
        <w:t>Inhaltsbereiche gegliedert in Pflicht- und Wahlpflichtbereich mit (verpflichte</w:t>
      </w:r>
      <w:r>
        <w:t>n</w:t>
      </w:r>
      <w:r>
        <w:t>den) organisatorischen Hinweisen</w:t>
      </w:r>
    </w:p>
    <w:p w:rsidR="009052DE" w:rsidRDefault="009052DE" w:rsidP="009052DE">
      <w:pPr>
        <w:numPr>
          <w:ilvl w:val="0"/>
          <w:numId w:val="2"/>
        </w:numPr>
        <w:spacing w:before="100" w:beforeAutospacing="1" w:after="100" w:afterAutospacing="1"/>
      </w:pPr>
      <w:r>
        <w:t>Inhaltsbereiche gegliedert in: motorisch - kognitiv/reflexiv - kre</w:t>
      </w:r>
      <w:r>
        <w:t>a</w:t>
      </w:r>
      <w:r>
        <w:t>tiv/gestalterisch</w:t>
      </w:r>
    </w:p>
    <w:p w:rsidR="009052DE" w:rsidRDefault="009052DE" w:rsidP="009052DE">
      <w:pPr>
        <w:numPr>
          <w:ilvl w:val="0"/>
          <w:numId w:val="2"/>
        </w:numPr>
        <w:spacing w:before="100" w:beforeAutospacing="1" w:after="100" w:afterAutospacing="1"/>
      </w:pPr>
      <w:r>
        <w:t>Kompetenzen differenzierter, konkreter und verbindlicher ausgestaltet</w:t>
      </w:r>
    </w:p>
    <w:p w:rsidR="009052DE" w:rsidRDefault="009052DE" w:rsidP="009052DE">
      <w:pPr>
        <w:numPr>
          <w:ilvl w:val="0"/>
          <w:numId w:val="2"/>
        </w:numPr>
        <w:spacing w:before="100" w:beforeAutospacing="1" w:after="100" w:afterAutospacing="1"/>
      </w:pPr>
      <w:r>
        <w:t>Kerncurriculum = 75%</w:t>
      </w:r>
    </w:p>
    <w:p w:rsidR="009052DE" w:rsidRDefault="009052DE" w:rsidP="009052DE">
      <w:pPr>
        <w:numPr>
          <w:ilvl w:val="0"/>
          <w:numId w:val="2"/>
        </w:numPr>
        <w:spacing w:before="100" w:beforeAutospacing="1" w:after="100" w:afterAutospacing="1"/>
      </w:pPr>
      <w:r>
        <w:t>Unterricht wird in Form von Unterrichtsvorhaben organisiert</w:t>
      </w:r>
    </w:p>
    <w:p w:rsidR="009052DE" w:rsidRPr="00C31123" w:rsidRDefault="009052DE" w:rsidP="009052DE">
      <w:pPr>
        <w:pStyle w:val="StandardWeb"/>
        <w:rPr>
          <w:rFonts w:ascii="Arial" w:hAnsi="Arial" w:cs="Arial"/>
        </w:rPr>
      </w:pPr>
      <w:r w:rsidRPr="00C31123">
        <w:rPr>
          <w:rFonts w:ascii="Arial" w:hAnsi="Arial" w:cs="Arial"/>
        </w:rPr>
        <w:t>Die Kompetenzbereiche werden durch Unterrichtsvorhaben konkretisiert und umg</w:t>
      </w:r>
      <w:r w:rsidRPr="00C31123">
        <w:rPr>
          <w:rFonts w:ascii="Arial" w:hAnsi="Arial" w:cs="Arial"/>
        </w:rPr>
        <w:t>e</w:t>
      </w:r>
      <w:r w:rsidRPr="00C31123">
        <w:rPr>
          <w:rFonts w:ascii="Arial" w:hAnsi="Arial" w:cs="Arial"/>
        </w:rPr>
        <w:t>setzt. Unterrichtsvorhaben sind thematisch akzentuierte unterrichtliche Einheiten als Verknüpfung von Prinzipien Erziehenden Sportunterrichts, sportpädagogischen Pe</w:t>
      </w:r>
      <w:r w:rsidRPr="00C31123">
        <w:rPr>
          <w:rFonts w:ascii="Arial" w:hAnsi="Arial" w:cs="Arial"/>
        </w:rPr>
        <w:t>r</w:t>
      </w:r>
      <w:r w:rsidRPr="00C31123">
        <w:rPr>
          <w:rFonts w:ascii="Arial" w:hAnsi="Arial" w:cs="Arial"/>
        </w:rPr>
        <w:t xml:space="preserve">spektiven und konkreten Inhalten. In ihrer Auswahl und planvollen Abfolge sollen sie die Kontinuität des Unterrichts und die Lernprogression bei den Schülerinnen und Schülern sichern und diese zur selbstständigen und reflexiven Auseinandersetzung mit dem Thema auffordern. </w:t>
      </w:r>
      <w:r w:rsidRPr="00C31123">
        <w:rPr>
          <w:rFonts w:ascii="Arial" w:hAnsi="Arial" w:cs="Arial"/>
        </w:rPr>
        <w:br/>
        <w:t xml:space="preserve">Unterrichtsvorhaben, welche den Planungscharakter von Unterricht kennzeichnen, zielen darauf ab, </w:t>
      </w:r>
    </w:p>
    <w:p w:rsidR="009052DE" w:rsidRDefault="009052DE" w:rsidP="009052DE">
      <w:pPr>
        <w:numPr>
          <w:ilvl w:val="0"/>
          <w:numId w:val="3"/>
        </w:numPr>
        <w:spacing w:before="100" w:beforeAutospacing="1" w:after="100" w:afterAutospacing="1"/>
      </w:pPr>
      <w:r>
        <w:t>die Lernprogression über mehrere Unterrichtsstunden in den Blick zu nehmen</w:t>
      </w:r>
    </w:p>
    <w:p w:rsidR="009052DE" w:rsidRDefault="009052DE" w:rsidP="009052DE">
      <w:pPr>
        <w:numPr>
          <w:ilvl w:val="0"/>
          <w:numId w:val="3"/>
        </w:numPr>
        <w:spacing w:before="100" w:beforeAutospacing="1" w:after="100" w:afterAutospacing="1"/>
      </w:pPr>
      <w:r>
        <w:t>von der traditionellen Sachlogik der Sportarten zur intentionalen Ausrichtung des Unterrichts</w:t>
      </w:r>
      <w:r>
        <w:softHyphen/>
        <w:t>gegen</w:t>
      </w:r>
      <w:r>
        <w:softHyphen/>
        <w:t>standes zu gelangen, wie sie in den verschiedenen Kompetenzbereichen festgelegt ist</w:t>
      </w:r>
    </w:p>
    <w:p w:rsidR="009052DE" w:rsidRDefault="009052DE" w:rsidP="009052DE">
      <w:pPr>
        <w:numPr>
          <w:ilvl w:val="0"/>
          <w:numId w:val="3"/>
        </w:numPr>
        <w:spacing w:before="100" w:beforeAutospacing="1" w:after="100" w:afterAutospacing="1"/>
      </w:pPr>
      <w:r>
        <w:t>die Bedeutung des Themas für die Bewegungsbildung und Entwicklungsförd</w:t>
      </w:r>
      <w:r>
        <w:t>e</w:t>
      </w:r>
      <w:r>
        <w:t>rung von Kindern und Jugendlichen aufzuzeigen.</w:t>
      </w:r>
    </w:p>
    <w:p w:rsidR="009052DE" w:rsidRPr="00C31123" w:rsidRDefault="009052DE" w:rsidP="009052DE">
      <w:pPr>
        <w:pStyle w:val="StandardWeb"/>
        <w:rPr>
          <w:rFonts w:ascii="Arial" w:hAnsi="Arial" w:cs="Arial"/>
        </w:rPr>
      </w:pPr>
      <w:r w:rsidRPr="00C31123">
        <w:rPr>
          <w:rFonts w:ascii="Arial" w:hAnsi="Arial" w:cs="Arial"/>
        </w:rPr>
        <w:lastRenderedPageBreak/>
        <w:t>Teilkompetenzen aus einem oder mehreren Inhaltsbereichen bilden den Ausgang</w:t>
      </w:r>
      <w:r w:rsidRPr="00C31123">
        <w:rPr>
          <w:rFonts w:ascii="Arial" w:hAnsi="Arial" w:cs="Arial"/>
        </w:rPr>
        <w:t>s</w:t>
      </w:r>
      <w:r w:rsidRPr="00C31123">
        <w:rPr>
          <w:rFonts w:ascii="Arial" w:hAnsi="Arial" w:cs="Arial"/>
        </w:rPr>
        <w:t>punkt für die Planung von Unterrichtsvorhaben. Neben dem Aspekt der anvisierten Kompetenzen sind die jeweilige Lerngruppe sowie infrastrukturelle Bedingungen we</w:t>
      </w:r>
      <w:r w:rsidRPr="00C31123">
        <w:rPr>
          <w:rFonts w:ascii="Arial" w:hAnsi="Arial" w:cs="Arial"/>
        </w:rPr>
        <w:t>i</w:t>
      </w:r>
      <w:r w:rsidRPr="00C31123">
        <w:rPr>
          <w:rFonts w:ascii="Arial" w:hAnsi="Arial" w:cs="Arial"/>
        </w:rPr>
        <w:t>tere wesentliche Aspekte bei der Planung von Unterrichtsvorhaben. Diese berüc</w:t>
      </w:r>
      <w:r w:rsidRPr="00C31123">
        <w:rPr>
          <w:rFonts w:ascii="Arial" w:hAnsi="Arial" w:cs="Arial"/>
        </w:rPr>
        <w:t>k</w:t>
      </w:r>
      <w:r w:rsidRPr="00C31123">
        <w:rPr>
          <w:rFonts w:ascii="Arial" w:hAnsi="Arial" w:cs="Arial"/>
        </w:rPr>
        <w:t>sichtigt die klare Formulierung des Themas, die Begründung und Einordnung des ausgewählten Themas (Warum?), Aufgabenschwerpunkte und inhaltliche Konkret</w:t>
      </w:r>
      <w:r w:rsidRPr="00C31123">
        <w:rPr>
          <w:rFonts w:ascii="Arial" w:hAnsi="Arial" w:cs="Arial"/>
        </w:rPr>
        <w:t>i</w:t>
      </w:r>
      <w:r w:rsidRPr="00C31123">
        <w:rPr>
          <w:rFonts w:ascii="Arial" w:hAnsi="Arial" w:cs="Arial"/>
        </w:rPr>
        <w:t>sierungen (Was?) sowie wesentliche didaktische Hinweise (Wie?) und Qualitäts- b</w:t>
      </w:r>
      <w:r w:rsidRPr="00C31123">
        <w:rPr>
          <w:rFonts w:ascii="Arial" w:hAnsi="Arial" w:cs="Arial"/>
        </w:rPr>
        <w:t>e</w:t>
      </w:r>
      <w:r w:rsidRPr="00C31123">
        <w:rPr>
          <w:rFonts w:ascii="Arial" w:hAnsi="Arial" w:cs="Arial"/>
        </w:rPr>
        <w:t>ziehungsweise Evaluationskriterien in Bezug auf den erwarteten Unterrichtserfolg.</w:t>
      </w:r>
    </w:p>
    <w:p w:rsidR="009052DE" w:rsidRDefault="009052DE" w:rsidP="009052DE">
      <w:pPr>
        <w:pStyle w:val="StandardWeb"/>
      </w:pPr>
      <w:r>
        <w:t> </w:t>
      </w:r>
    </w:p>
    <w:p w:rsidR="009052DE" w:rsidRDefault="00541C28" w:rsidP="009052DE">
      <w:r>
        <w:pict>
          <v:rect id="_x0000_i1025" style="width:0;height:1.5pt" o:hralign="center" o:hrstd="t" o:hr="t" fillcolor="#a0a0a0" stroked="f"/>
        </w:pict>
      </w:r>
    </w:p>
    <w:p w:rsidR="009052DE" w:rsidRPr="00C31123" w:rsidRDefault="009052DE" w:rsidP="009052DE">
      <w:pPr>
        <w:pStyle w:val="StandardWeb"/>
        <w:rPr>
          <w:rFonts w:ascii="Arial" w:hAnsi="Arial" w:cs="Arial"/>
        </w:rPr>
      </w:pPr>
      <w:r w:rsidRPr="00C31123">
        <w:rPr>
          <w:rFonts w:ascii="Arial" w:hAnsi="Arial" w:cs="Arial"/>
        </w:rPr>
        <w:t xml:space="preserve">Bildungsplanreform 2016 : </w:t>
      </w:r>
      <w:hyperlink r:id="rId9" w:history="1">
        <w:r w:rsidRPr="00C31123">
          <w:rPr>
            <w:rStyle w:val="Hyperlink"/>
            <w:rFonts w:ascii="Arial" w:hAnsi="Arial" w:cs="Arial"/>
          </w:rPr>
          <w:t>Herunterladen</w:t>
        </w:r>
      </w:hyperlink>
      <w:r w:rsidRPr="00C31123">
        <w:rPr>
          <w:rFonts w:ascii="Arial" w:hAnsi="Arial" w:cs="Arial"/>
        </w:rPr>
        <w:t xml:space="preserve"> [</w:t>
      </w:r>
      <w:proofErr w:type="spellStart"/>
      <w:r w:rsidRPr="00C31123">
        <w:rPr>
          <w:rFonts w:ascii="Arial" w:hAnsi="Arial" w:cs="Arial"/>
        </w:rPr>
        <w:t>pptx</w:t>
      </w:r>
      <w:proofErr w:type="spellEnd"/>
      <w:r w:rsidRPr="00C31123">
        <w:rPr>
          <w:rFonts w:ascii="Arial" w:hAnsi="Arial" w:cs="Arial"/>
        </w:rPr>
        <w:t>][965 KB]</w:t>
      </w:r>
      <w:r w:rsidRPr="00C31123">
        <w:rPr>
          <w:rFonts w:ascii="Arial" w:hAnsi="Arial" w:cs="Arial"/>
        </w:rPr>
        <w:br/>
        <w:t xml:space="preserve">Bildungsplanreform 2016: </w:t>
      </w:r>
      <w:hyperlink r:id="rId10" w:history="1">
        <w:r w:rsidRPr="00C31123">
          <w:rPr>
            <w:rStyle w:val="Hyperlink"/>
            <w:rFonts w:ascii="Arial" w:hAnsi="Arial" w:cs="Arial"/>
          </w:rPr>
          <w:t>Herunterladen</w:t>
        </w:r>
      </w:hyperlink>
      <w:r w:rsidRPr="00C31123">
        <w:rPr>
          <w:rFonts w:ascii="Arial" w:hAnsi="Arial" w:cs="Arial"/>
        </w:rPr>
        <w:t xml:space="preserve"> [</w:t>
      </w:r>
      <w:proofErr w:type="spellStart"/>
      <w:r w:rsidRPr="00C31123">
        <w:rPr>
          <w:rFonts w:ascii="Arial" w:hAnsi="Arial" w:cs="Arial"/>
        </w:rPr>
        <w:t>pdf</w:t>
      </w:r>
      <w:proofErr w:type="spellEnd"/>
      <w:r w:rsidRPr="00C31123">
        <w:rPr>
          <w:rFonts w:ascii="Arial" w:hAnsi="Arial" w:cs="Arial"/>
        </w:rPr>
        <w:t>][2 MB]</w:t>
      </w:r>
    </w:p>
    <w:p w:rsidR="009052DE" w:rsidRPr="00C31123" w:rsidRDefault="009052DE" w:rsidP="009052DE">
      <w:pPr>
        <w:pStyle w:val="StandardWeb"/>
        <w:rPr>
          <w:rFonts w:ascii="Arial" w:hAnsi="Arial" w:cs="Arial"/>
        </w:rPr>
      </w:pPr>
      <w:r w:rsidRPr="00C31123">
        <w:rPr>
          <w:rFonts w:ascii="Arial" w:hAnsi="Arial" w:cs="Arial"/>
        </w:rPr>
        <w:t xml:space="preserve">Einführung: </w:t>
      </w:r>
      <w:hyperlink r:id="rId11" w:history="1">
        <w:r w:rsidRPr="00C31123">
          <w:rPr>
            <w:rStyle w:val="Hyperlink"/>
            <w:rFonts w:ascii="Arial" w:hAnsi="Arial" w:cs="Arial"/>
          </w:rPr>
          <w:t>Herunterladen</w:t>
        </w:r>
      </w:hyperlink>
      <w:r w:rsidRPr="00C31123">
        <w:rPr>
          <w:rFonts w:ascii="Arial" w:hAnsi="Arial" w:cs="Arial"/>
        </w:rPr>
        <w:t xml:space="preserve"> [</w:t>
      </w:r>
      <w:proofErr w:type="spellStart"/>
      <w:r w:rsidRPr="00C31123">
        <w:rPr>
          <w:rFonts w:ascii="Arial" w:hAnsi="Arial" w:cs="Arial"/>
        </w:rPr>
        <w:t>pdf</w:t>
      </w:r>
      <w:proofErr w:type="spellEnd"/>
      <w:r w:rsidRPr="00C31123">
        <w:rPr>
          <w:rFonts w:ascii="Arial" w:hAnsi="Arial" w:cs="Arial"/>
        </w:rPr>
        <w:t>][285 KB]</w:t>
      </w:r>
    </w:p>
    <w:p w:rsidR="009052DE" w:rsidRPr="00C31123" w:rsidRDefault="009052DE" w:rsidP="009052DE">
      <w:pPr>
        <w:pStyle w:val="StandardWeb"/>
        <w:rPr>
          <w:rFonts w:ascii="Arial" w:hAnsi="Arial" w:cs="Arial"/>
        </w:rPr>
      </w:pPr>
      <w:r w:rsidRPr="00C31123">
        <w:rPr>
          <w:rFonts w:ascii="Arial" w:hAnsi="Arial" w:cs="Arial"/>
        </w:rPr>
        <w:t xml:space="preserve">Weiter mit </w:t>
      </w:r>
      <w:hyperlink r:id="rId12" w:history="1">
        <w:r w:rsidRPr="00C31123">
          <w:rPr>
            <w:rStyle w:val="Hyperlink"/>
            <w:rFonts w:ascii="Arial" w:hAnsi="Arial" w:cs="Arial"/>
          </w:rPr>
          <w:t>Leitperspektiven</w:t>
        </w:r>
      </w:hyperlink>
    </w:p>
    <w:p w:rsidR="00CD6932" w:rsidRPr="0044650F" w:rsidRDefault="00CD6932" w:rsidP="0044650F"/>
    <w:sectPr w:rsidR="00CD6932" w:rsidRPr="0044650F" w:rsidSect="001E03DE">
      <w:headerReference w:type="default" r:id="rId13"/>
      <w:headerReference w:type="first" r:id="rId14"/>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2DE" w:rsidRDefault="009052DE" w:rsidP="001E03DE">
      <w:r>
        <w:separator/>
      </w:r>
    </w:p>
  </w:endnote>
  <w:endnote w:type="continuationSeparator" w:id="0">
    <w:p w:rsidR="009052DE" w:rsidRDefault="009052DE" w:rsidP="001E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2DE" w:rsidRDefault="009052DE" w:rsidP="001E03DE">
      <w:r>
        <w:separator/>
      </w:r>
    </w:p>
  </w:footnote>
  <w:footnote w:type="continuationSeparator" w:id="0">
    <w:p w:rsidR="009052DE" w:rsidRDefault="009052DE" w:rsidP="001E0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DE" w:rsidRDefault="009052DE" w:rsidP="009052DE">
    <w:pPr>
      <w:pStyle w:val="Kopfzeile"/>
    </w:pPr>
    <w:r>
      <w:t xml:space="preserve">ZPSekI Sport </w:t>
    </w:r>
    <w:r>
      <w:tab/>
      <w:t xml:space="preserve">März 2016 </w:t>
    </w:r>
    <w:r>
      <w:tab/>
      <w:t>LIS Ludwigsburg</w:t>
    </w:r>
  </w:p>
  <w:p w:rsidR="009052DE" w:rsidRDefault="009052DE">
    <w:pPr>
      <w:pStyle w:val="Kopfzeile"/>
    </w:pPr>
  </w:p>
  <w:p w:rsidR="009052DE" w:rsidRDefault="009052D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2DE" w:rsidRDefault="009052DE" w:rsidP="009052DE">
    <w:pPr>
      <w:pStyle w:val="Kopfzeile"/>
    </w:pPr>
    <w:r>
      <w:t xml:space="preserve">ZPSekI Sport </w:t>
    </w:r>
    <w:r>
      <w:tab/>
      <w:t xml:space="preserve">März 2016 </w:t>
    </w:r>
    <w:r>
      <w:tab/>
      <w:t>LIS Ludwigsburg</w:t>
    </w:r>
  </w:p>
  <w:p w:rsidR="009052DE" w:rsidRDefault="009052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138AE"/>
    <w:multiLevelType w:val="multilevel"/>
    <w:tmpl w:val="7670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3A1891"/>
    <w:multiLevelType w:val="multilevel"/>
    <w:tmpl w:val="75885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0B2799"/>
    <w:multiLevelType w:val="multilevel"/>
    <w:tmpl w:val="BD6A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DE"/>
    <w:rsid w:val="001A2103"/>
    <w:rsid w:val="001E03DE"/>
    <w:rsid w:val="002223B8"/>
    <w:rsid w:val="00296589"/>
    <w:rsid w:val="0044650F"/>
    <w:rsid w:val="00541C28"/>
    <w:rsid w:val="008A7911"/>
    <w:rsid w:val="009052DE"/>
    <w:rsid w:val="009533B3"/>
    <w:rsid w:val="009935DA"/>
    <w:rsid w:val="009C05F9"/>
    <w:rsid w:val="00C22DA6"/>
    <w:rsid w:val="00CD6932"/>
    <w:rsid w:val="00EB03C2"/>
    <w:rsid w:val="00F44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2DE"/>
    <w:pPr>
      <w:spacing w:line="240" w:lineRule="auto"/>
    </w:pPr>
  </w:style>
  <w:style w:type="paragraph" w:styleId="berschrift1">
    <w:name w:val="heading 1"/>
    <w:basedOn w:val="Standard"/>
    <w:link w:val="berschrift1Zchn"/>
    <w:uiPriority w:val="9"/>
    <w:qFormat/>
    <w:rsid w:val="009052D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9052D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9052D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9052DE"/>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9052DE"/>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9052DE"/>
    <w:rPr>
      <w:b/>
      <w:bCs/>
    </w:rPr>
  </w:style>
  <w:style w:type="character" w:styleId="Hyperlink">
    <w:name w:val="Hyperlink"/>
    <w:basedOn w:val="Absatz-Standardschriftart"/>
    <w:uiPriority w:val="99"/>
    <w:unhideWhenUsed/>
    <w:rsid w:val="009052DE"/>
    <w:rPr>
      <w:color w:val="0000FF"/>
      <w:u w:val="single"/>
    </w:rPr>
  </w:style>
  <w:style w:type="paragraph" w:styleId="Sprechblasentext">
    <w:name w:val="Balloon Text"/>
    <w:basedOn w:val="Standard"/>
    <w:link w:val="SprechblasentextZchn"/>
    <w:uiPriority w:val="99"/>
    <w:semiHidden/>
    <w:unhideWhenUsed/>
    <w:rsid w:val="009052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52DE"/>
    <w:pPr>
      <w:spacing w:line="240" w:lineRule="auto"/>
    </w:pPr>
  </w:style>
  <w:style w:type="paragraph" w:styleId="berschrift1">
    <w:name w:val="heading 1"/>
    <w:basedOn w:val="Standard"/>
    <w:link w:val="berschrift1Zchn"/>
    <w:uiPriority w:val="9"/>
    <w:qFormat/>
    <w:rsid w:val="009052DE"/>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9052D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MTimesNewRoman8">
    <w:name w:val="KM_TimesNewRoman_8"/>
    <w:basedOn w:val="Standard"/>
    <w:link w:val="KMTimesNewRoman8Zchn"/>
    <w:qFormat/>
    <w:rsid w:val="00296589"/>
    <w:pPr>
      <w:tabs>
        <w:tab w:val="center" w:pos="1985"/>
      </w:tabs>
      <w:jc w:val="center"/>
    </w:pPr>
    <w:rPr>
      <w:rFonts w:ascii="Times New Roman" w:hAnsi="Times New Roman" w:cs="Times New Roman"/>
      <w:sz w:val="16"/>
    </w:rPr>
  </w:style>
  <w:style w:type="character" w:customStyle="1" w:styleId="KMTimesNewRoman8Zchn">
    <w:name w:val="KM_TimesNewRoman_8 Zchn"/>
    <w:basedOn w:val="Absatz-Standardschriftart"/>
    <w:link w:val="KMTimesNewRoman8"/>
    <w:rsid w:val="00296589"/>
    <w:rPr>
      <w:rFonts w:ascii="Times New Roman" w:hAnsi="Times New Roman" w:cs="Times New Roman"/>
      <w:sz w:val="16"/>
    </w:rPr>
  </w:style>
  <w:style w:type="paragraph" w:customStyle="1" w:styleId="Einrckung0">
    <w:name w:val="Einrückung0"/>
    <w:basedOn w:val="Standard"/>
    <w:rsid w:val="00F44A67"/>
    <w:pPr>
      <w:overflowPunct w:val="0"/>
      <w:autoSpaceDE w:val="0"/>
      <w:autoSpaceDN w:val="0"/>
      <w:adjustRightInd w:val="0"/>
      <w:spacing w:line="360" w:lineRule="atLeast"/>
      <w:textAlignment w:val="baseline"/>
    </w:pPr>
    <w:rPr>
      <w:rFonts w:eastAsia="Times New Roman" w:cs="Times New Roman"/>
      <w:szCs w:val="20"/>
      <w:lang w:eastAsia="de-DE"/>
    </w:rPr>
  </w:style>
  <w:style w:type="paragraph" w:customStyle="1" w:styleId="Einrckung1">
    <w:name w:val="Einrückung1"/>
    <w:basedOn w:val="Standard"/>
    <w:rsid w:val="00F44A67"/>
    <w:pPr>
      <w:overflowPunct w:val="0"/>
      <w:autoSpaceDE w:val="0"/>
      <w:autoSpaceDN w:val="0"/>
      <w:adjustRightInd w:val="0"/>
      <w:spacing w:line="360" w:lineRule="atLeast"/>
      <w:ind w:left="425" w:hanging="425"/>
      <w:textAlignment w:val="baseline"/>
    </w:pPr>
    <w:rPr>
      <w:rFonts w:eastAsia="Times New Roman" w:cs="Times New Roman"/>
      <w:szCs w:val="20"/>
      <w:lang w:eastAsia="de-DE"/>
    </w:rPr>
  </w:style>
  <w:style w:type="paragraph" w:customStyle="1" w:styleId="Einrckung2">
    <w:name w:val="Einrückung2"/>
    <w:basedOn w:val="Standard"/>
    <w:rsid w:val="00F44A67"/>
    <w:pPr>
      <w:overflowPunct w:val="0"/>
      <w:autoSpaceDE w:val="0"/>
      <w:autoSpaceDN w:val="0"/>
      <w:adjustRightInd w:val="0"/>
      <w:spacing w:line="360" w:lineRule="atLeast"/>
      <w:ind w:left="850" w:hanging="425"/>
      <w:textAlignment w:val="baseline"/>
    </w:pPr>
    <w:rPr>
      <w:rFonts w:eastAsia="Times New Roman" w:cs="Times New Roman"/>
      <w:szCs w:val="20"/>
      <w:lang w:eastAsia="de-DE"/>
    </w:rPr>
  </w:style>
  <w:style w:type="paragraph" w:customStyle="1" w:styleId="Einrckung3">
    <w:name w:val="Einrückung3"/>
    <w:basedOn w:val="Standard"/>
    <w:rsid w:val="00F44A67"/>
    <w:pPr>
      <w:overflowPunct w:val="0"/>
      <w:autoSpaceDE w:val="0"/>
      <w:autoSpaceDN w:val="0"/>
      <w:adjustRightInd w:val="0"/>
      <w:spacing w:line="360" w:lineRule="atLeast"/>
      <w:ind w:left="1276" w:hanging="425"/>
      <w:textAlignment w:val="baseline"/>
    </w:pPr>
    <w:rPr>
      <w:rFonts w:eastAsia="Times New Roman" w:cs="Times New Roman"/>
      <w:szCs w:val="20"/>
      <w:lang w:eastAsia="de-DE"/>
    </w:rPr>
  </w:style>
  <w:style w:type="paragraph" w:customStyle="1" w:styleId="Einrckung4">
    <w:name w:val="Einrückung4"/>
    <w:basedOn w:val="Standard"/>
    <w:rsid w:val="00F44A67"/>
    <w:pPr>
      <w:overflowPunct w:val="0"/>
      <w:autoSpaceDE w:val="0"/>
      <w:autoSpaceDN w:val="0"/>
      <w:adjustRightInd w:val="0"/>
      <w:spacing w:line="360" w:lineRule="atLeast"/>
      <w:ind w:left="1701" w:hanging="425"/>
      <w:textAlignment w:val="baseline"/>
    </w:pPr>
    <w:rPr>
      <w:rFonts w:eastAsia="Times New Roman" w:cs="Times New Roman"/>
      <w:szCs w:val="20"/>
      <w:lang w:eastAsia="de-DE"/>
    </w:rPr>
  </w:style>
  <w:style w:type="paragraph" w:styleId="Fuzeile">
    <w:name w:val="footer"/>
    <w:basedOn w:val="Standard"/>
    <w:link w:val="FuzeileZchn"/>
    <w:rsid w:val="00F44A67"/>
    <w:pPr>
      <w:tabs>
        <w:tab w:val="center" w:pos="4536"/>
        <w:tab w:val="right" w:pos="9072"/>
      </w:tabs>
      <w:overflowPunct w:val="0"/>
      <w:autoSpaceDE w:val="0"/>
      <w:autoSpaceDN w:val="0"/>
      <w:adjustRightInd w:val="0"/>
      <w:textAlignment w:val="baseline"/>
    </w:pPr>
    <w:rPr>
      <w:rFonts w:eastAsia="Times New Roman" w:cs="Times New Roman"/>
      <w:sz w:val="16"/>
      <w:szCs w:val="20"/>
      <w:lang w:eastAsia="de-DE"/>
    </w:rPr>
  </w:style>
  <w:style w:type="character" w:customStyle="1" w:styleId="FuzeileZchn">
    <w:name w:val="Fußzeile Zchn"/>
    <w:basedOn w:val="Absatz-Standardschriftart"/>
    <w:link w:val="Fuzeile"/>
    <w:rsid w:val="00F44A67"/>
    <w:rPr>
      <w:rFonts w:eastAsia="Times New Roman" w:cs="Times New Roman"/>
      <w:sz w:val="16"/>
      <w:szCs w:val="20"/>
      <w:lang w:eastAsia="de-DE"/>
    </w:rPr>
  </w:style>
  <w:style w:type="paragraph" w:styleId="Kopfzeile">
    <w:name w:val="header"/>
    <w:basedOn w:val="Standard"/>
    <w:link w:val="KopfzeileZchn"/>
    <w:uiPriority w:val="99"/>
    <w:rsid w:val="00F44A67"/>
    <w:pPr>
      <w:tabs>
        <w:tab w:val="center" w:pos="4536"/>
        <w:tab w:val="right" w:pos="9072"/>
      </w:tabs>
      <w:overflowPunct w:val="0"/>
      <w:autoSpaceDE w:val="0"/>
      <w:autoSpaceDN w:val="0"/>
      <w:adjustRightInd w:val="0"/>
      <w:textAlignment w:val="baseline"/>
    </w:pPr>
    <w:rPr>
      <w:rFonts w:eastAsia="Times New Roman" w:cs="Times New Roman"/>
      <w:szCs w:val="20"/>
      <w:lang w:eastAsia="de-DE"/>
    </w:rPr>
  </w:style>
  <w:style w:type="character" w:customStyle="1" w:styleId="KopfzeileZchn">
    <w:name w:val="Kopfzeile Zchn"/>
    <w:basedOn w:val="Absatz-Standardschriftart"/>
    <w:link w:val="Kopfzeile"/>
    <w:uiPriority w:val="99"/>
    <w:rsid w:val="00F44A67"/>
    <w:rPr>
      <w:rFonts w:eastAsia="Times New Roman" w:cs="Times New Roman"/>
      <w:szCs w:val="20"/>
      <w:lang w:eastAsia="de-DE"/>
    </w:rPr>
  </w:style>
  <w:style w:type="character" w:styleId="Seitenzahl">
    <w:name w:val="page number"/>
    <w:basedOn w:val="Absatz-Standardschriftart"/>
    <w:rsid w:val="00F44A67"/>
  </w:style>
  <w:style w:type="character" w:customStyle="1" w:styleId="berschrift1Zchn">
    <w:name w:val="Überschrift 1 Zchn"/>
    <w:basedOn w:val="Absatz-Standardschriftart"/>
    <w:link w:val="berschrift1"/>
    <w:uiPriority w:val="9"/>
    <w:rsid w:val="009052DE"/>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semiHidden/>
    <w:rsid w:val="009052DE"/>
    <w:rPr>
      <w:rFonts w:asciiTheme="majorHAnsi" w:eastAsiaTheme="majorEastAsia" w:hAnsiTheme="majorHAnsi" w:cstheme="majorBidi"/>
      <w:b/>
      <w:bCs/>
      <w:color w:val="4F81BD" w:themeColor="accent1"/>
    </w:rPr>
  </w:style>
  <w:style w:type="paragraph" w:styleId="StandardWeb">
    <w:name w:val="Normal (Web)"/>
    <w:basedOn w:val="Standard"/>
    <w:uiPriority w:val="99"/>
    <w:semiHidden/>
    <w:unhideWhenUsed/>
    <w:rsid w:val="009052DE"/>
    <w:pPr>
      <w:spacing w:before="100" w:beforeAutospacing="1" w:after="100" w:afterAutospacing="1"/>
    </w:pPr>
    <w:rPr>
      <w:rFonts w:ascii="Times New Roman" w:eastAsia="Times New Roman" w:hAnsi="Times New Roman" w:cs="Times New Roman"/>
      <w:szCs w:val="24"/>
      <w:lang w:eastAsia="de-DE"/>
    </w:rPr>
  </w:style>
  <w:style w:type="character" w:styleId="Fett">
    <w:name w:val="Strong"/>
    <w:basedOn w:val="Absatz-Standardschriftart"/>
    <w:uiPriority w:val="22"/>
    <w:qFormat/>
    <w:rsid w:val="009052DE"/>
    <w:rPr>
      <w:b/>
      <w:bCs/>
    </w:rPr>
  </w:style>
  <w:style w:type="character" w:styleId="Hyperlink">
    <w:name w:val="Hyperlink"/>
    <w:basedOn w:val="Absatz-Standardschriftart"/>
    <w:uiPriority w:val="99"/>
    <w:unhideWhenUsed/>
    <w:rsid w:val="009052DE"/>
    <w:rPr>
      <w:color w:val="0000FF"/>
      <w:u w:val="single"/>
    </w:rPr>
  </w:style>
  <w:style w:type="paragraph" w:styleId="Sprechblasentext">
    <w:name w:val="Balloon Text"/>
    <w:basedOn w:val="Standard"/>
    <w:link w:val="SprechblasentextZchn"/>
    <w:uiPriority w:val="99"/>
    <w:semiHidden/>
    <w:unhideWhenUsed/>
    <w:rsid w:val="009052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5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hrerfortbildung-bw.de/faecher/sport/gym/fb3/00_einf/bildungsplanreform_2016_g8_lehrer.ppt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ehrerfortbildung-bw.de/faecher/sport/gym/fb3/01_leit/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hrerfortbildung-bw.de/faecher/sport/gym/fb3/00_einf/einfuehru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hrerfortbildung-bw.de/faecher/sport/gym/fb3/00_einf/bildungsplanreform_2016_g8_lehrer.pdf" TargetMode="External"/><Relationship Id="rId4" Type="http://schemas.openxmlformats.org/officeDocument/2006/relationships/settings" Target="settings.xml"/><Relationship Id="rId9" Type="http://schemas.openxmlformats.org/officeDocument/2006/relationships/hyperlink" Target="https://lehrerfortbildung-bw.de/faecher/sport/gym/fb3/00_einf/bildungsplanreform_2016_g8_lehrer.pptx"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Baur-Fettah, Yasmin (LIS)</dc:creator>
  <cp:lastModifiedBy>Baur-Fettah, Yasmin (LIS)</cp:lastModifiedBy>
  <cp:revision>2</cp:revision>
  <dcterms:created xsi:type="dcterms:W3CDTF">2016-04-07T08:07:00Z</dcterms:created>
  <dcterms:modified xsi:type="dcterms:W3CDTF">2016-04-08T09:55:00Z</dcterms:modified>
</cp:coreProperties>
</file>