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20" w:rsidRDefault="008A7D20" w:rsidP="00A30E52">
      <w:pPr>
        <w:spacing w:after="0" w:line="300" w:lineRule="exact"/>
        <w:jc w:val="both"/>
        <w:rPr>
          <w:rFonts w:cs="Helvetica"/>
          <w:b/>
          <w:color w:val="202124"/>
          <w:sz w:val="28"/>
          <w:szCs w:val="28"/>
        </w:rPr>
      </w:pPr>
      <w:r>
        <w:rPr>
          <w:rFonts w:cs="Helvetica"/>
          <w:b/>
          <w:color w:val="202124"/>
          <w:sz w:val="28"/>
          <w:szCs w:val="28"/>
        </w:rPr>
        <w:t xml:space="preserve">Rettet die Erde! </w:t>
      </w:r>
    </w:p>
    <w:p w:rsidR="00A30E52" w:rsidRPr="00A36186" w:rsidRDefault="008A7D20" w:rsidP="00A30E52">
      <w:pPr>
        <w:spacing w:after="0" w:line="300" w:lineRule="exact"/>
        <w:jc w:val="both"/>
        <w:rPr>
          <w:rFonts w:cs="Helvetica"/>
          <w:b/>
          <w:color w:val="202124"/>
          <w:sz w:val="28"/>
          <w:szCs w:val="28"/>
        </w:rPr>
      </w:pPr>
      <w:r>
        <w:rPr>
          <w:rFonts w:cs="Helvetica"/>
          <w:b/>
          <w:color w:val="202124"/>
          <w:sz w:val="28"/>
          <w:szCs w:val="28"/>
        </w:rPr>
        <w:t>Argumente erfassen und erweitern – in Diskussionen bestehen</w:t>
      </w:r>
    </w:p>
    <w:p w:rsidR="00A30E52" w:rsidRPr="007A0F36" w:rsidRDefault="008A7D20" w:rsidP="00A30E52">
      <w:pPr>
        <w:spacing w:after="0" w:line="300" w:lineRule="exact"/>
        <w:jc w:val="both"/>
        <w:rPr>
          <w:rFonts w:cs="Helvetica"/>
          <w:color w:val="202124"/>
          <w:sz w:val="24"/>
          <w:szCs w:val="24"/>
        </w:rPr>
      </w:pPr>
      <w:r w:rsidRPr="007A0F36">
        <w:rPr>
          <w:rFonts w:cs="Helvetica"/>
          <w:color w:val="202124"/>
          <w:sz w:val="24"/>
          <w:szCs w:val="24"/>
        </w:rPr>
        <w:t>Die Greenpeace-Werbekampagne „Alien Invasion“</w:t>
      </w:r>
    </w:p>
    <w:p w:rsidR="00A30E52" w:rsidRDefault="00A30E52" w:rsidP="00A30E52">
      <w:pPr>
        <w:spacing w:after="0" w:line="300" w:lineRule="exact"/>
        <w:jc w:val="both"/>
        <w:rPr>
          <w:rFonts w:cs="Helvetica"/>
          <w:color w:val="202124"/>
        </w:rPr>
      </w:pPr>
    </w:p>
    <w:p w:rsidR="00564096" w:rsidRDefault="00564096" w:rsidP="00A30E52">
      <w:pPr>
        <w:spacing w:after="0" w:line="300" w:lineRule="exact"/>
        <w:jc w:val="both"/>
        <w:rPr>
          <w:rFonts w:cs="Helvetica"/>
          <w:b/>
          <w:color w:val="202124"/>
          <w:sz w:val="24"/>
          <w:szCs w:val="24"/>
        </w:rPr>
      </w:pPr>
    </w:p>
    <w:p w:rsidR="00A30E52" w:rsidRPr="007A0F36" w:rsidRDefault="00A30E52" w:rsidP="00A30E52">
      <w:pPr>
        <w:spacing w:after="0" w:line="300" w:lineRule="exact"/>
        <w:jc w:val="both"/>
        <w:rPr>
          <w:rFonts w:cs="Helvetica"/>
          <w:color w:val="202124"/>
          <w:sz w:val="24"/>
          <w:szCs w:val="24"/>
        </w:rPr>
      </w:pPr>
      <w:r w:rsidRPr="007A0F36">
        <w:rPr>
          <w:rFonts w:cs="Helvetica"/>
          <w:b/>
          <w:color w:val="202124"/>
          <w:sz w:val="24"/>
          <w:szCs w:val="24"/>
        </w:rPr>
        <w:t>Zielgruppe</w:t>
      </w:r>
      <w:r w:rsidRPr="007A0F36">
        <w:rPr>
          <w:rFonts w:cs="Helvetica"/>
          <w:color w:val="202124"/>
          <w:sz w:val="24"/>
          <w:szCs w:val="24"/>
        </w:rPr>
        <w:t xml:space="preserve">: </w:t>
      </w:r>
      <w:r w:rsidR="008A7D20" w:rsidRPr="007A0F36">
        <w:rPr>
          <w:rFonts w:cs="Helvetica"/>
          <w:color w:val="202124"/>
          <w:sz w:val="24"/>
          <w:szCs w:val="24"/>
        </w:rPr>
        <w:t>Schülerinnen und Schüler des</w:t>
      </w:r>
      <w:r w:rsidRPr="007A0F36">
        <w:rPr>
          <w:rFonts w:cs="Helvetica"/>
          <w:color w:val="202124"/>
          <w:sz w:val="24"/>
          <w:szCs w:val="24"/>
        </w:rPr>
        <w:t xml:space="preserve"> Beruflichen Gymnasiums</w:t>
      </w:r>
      <w:r w:rsidR="008A7D20" w:rsidRPr="007A0F36">
        <w:rPr>
          <w:rFonts w:cs="Helvetica"/>
          <w:color w:val="202124"/>
          <w:sz w:val="24"/>
          <w:szCs w:val="24"/>
        </w:rPr>
        <w:t xml:space="preserve">, </w:t>
      </w:r>
      <w:r w:rsidR="00BB2B71" w:rsidRPr="007A0F36">
        <w:rPr>
          <w:rFonts w:cs="Helvetica"/>
          <w:color w:val="202124"/>
          <w:sz w:val="24"/>
          <w:szCs w:val="24"/>
        </w:rPr>
        <w:t xml:space="preserve">des Berufskollegs, </w:t>
      </w:r>
      <w:r w:rsidR="008A7D20" w:rsidRPr="007A0F36">
        <w:rPr>
          <w:rFonts w:cs="Helvetica"/>
          <w:color w:val="202124"/>
          <w:sz w:val="24"/>
          <w:szCs w:val="24"/>
        </w:rPr>
        <w:t>der Berufsfachschule und Berufsschule</w:t>
      </w:r>
    </w:p>
    <w:p w:rsidR="00564096" w:rsidRDefault="00564096" w:rsidP="00A30E52">
      <w:pPr>
        <w:spacing w:after="0" w:line="300" w:lineRule="exact"/>
        <w:jc w:val="both"/>
        <w:rPr>
          <w:rFonts w:cs="Helvetica"/>
          <w:color w:val="202124"/>
        </w:rPr>
      </w:pPr>
    </w:p>
    <w:p w:rsidR="00564096" w:rsidRDefault="00564096" w:rsidP="00A30E52">
      <w:pPr>
        <w:spacing w:after="0" w:line="300" w:lineRule="exact"/>
        <w:jc w:val="both"/>
        <w:rPr>
          <w:rFonts w:cs="Helvetica"/>
          <w:color w:val="202124"/>
        </w:rPr>
      </w:pPr>
    </w:p>
    <w:p w:rsidR="008A7D20" w:rsidRPr="007A0F36" w:rsidRDefault="00BB2B71" w:rsidP="00A30E52">
      <w:pPr>
        <w:spacing w:after="0" w:line="300" w:lineRule="exact"/>
        <w:jc w:val="both"/>
        <w:rPr>
          <w:rFonts w:cs="Helvetica"/>
          <w:b/>
          <w:color w:val="202124"/>
          <w:sz w:val="24"/>
          <w:szCs w:val="24"/>
        </w:rPr>
      </w:pPr>
      <w:r w:rsidRPr="007A0F36">
        <w:rPr>
          <w:rFonts w:cs="Helvetica"/>
          <w:b/>
          <w:color w:val="202124"/>
          <w:sz w:val="24"/>
          <w:szCs w:val="24"/>
        </w:rPr>
        <w:t>Zum Ablauf</w:t>
      </w:r>
    </w:p>
    <w:p w:rsidR="00AA0F39" w:rsidRPr="00564096" w:rsidRDefault="00AA0F39" w:rsidP="00AA0F39">
      <w:pPr>
        <w:spacing w:after="0" w:line="240" w:lineRule="auto"/>
        <w:jc w:val="both"/>
        <w:rPr>
          <w:rFonts w:cs="Helvetica"/>
          <w:b/>
          <w:color w:val="202124"/>
          <w:sz w:val="12"/>
          <w:szCs w:val="12"/>
        </w:rPr>
      </w:pPr>
    </w:p>
    <w:p w:rsidR="00AA0F39" w:rsidRPr="007A0F36" w:rsidRDefault="00C0033D" w:rsidP="00AA0F39">
      <w:pPr>
        <w:spacing w:after="0" w:line="300" w:lineRule="exact"/>
        <w:jc w:val="both"/>
        <w:rPr>
          <w:rFonts w:cs="Helvetica"/>
          <w:color w:val="202124"/>
          <w:sz w:val="24"/>
          <w:szCs w:val="24"/>
        </w:rPr>
      </w:pPr>
      <w:r w:rsidRPr="007A0F36">
        <w:rPr>
          <w:noProof/>
          <w:sz w:val="24"/>
          <w:szCs w:val="24"/>
          <w:lang w:eastAsia="de-DE"/>
        </w:rPr>
        <w:drawing>
          <wp:anchor distT="0" distB="0" distL="114300" distR="114300" simplePos="0" relativeHeight="251659264" behindDoc="0" locked="0" layoutInCell="1" allowOverlap="1" wp14:anchorId="71363548" wp14:editId="47A70AD6">
            <wp:simplePos x="0" y="0"/>
            <wp:positionH relativeFrom="column">
              <wp:posOffset>-62230</wp:posOffset>
            </wp:positionH>
            <wp:positionV relativeFrom="paragraph">
              <wp:posOffset>282575</wp:posOffset>
            </wp:positionV>
            <wp:extent cx="752475" cy="75247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AA0F39" w:rsidRPr="007A0F36">
        <w:rPr>
          <w:rFonts w:cs="Helvetica"/>
          <w:color w:val="202124"/>
          <w:sz w:val="24"/>
          <w:szCs w:val="24"/>
        </w:rPr>
        <w:t>Der Werbespot ist hier abrufbar:</w:t>
      </w:r>
    </w:p>
    <w:p w:rsidR="00AA0F39" w:rsidRPr="007A0F36" w:rsidRDefault="00564096" w:rsidP="00AA0F39">
      <w:pPr>
        <w:spacing w:after="0" w:line="300" w:lineRule="exact"/>
        <w:jc w:val="both"/>
        <w:rPr>
          <w:rFonts w:cs="Helvetica"/>
          <w:color w:val="202124"/>
          <w:sz w:val="24"/>
          <w:szCs w:val="24"/>
        </w:rPr>
      </w:pPr>
      <w:hyperlink r:id="rId9" w:history="1">
        <w:r w:rsidR="00AA0F39" w:rsidRPr="007A0F36">
          <w:rPr>
            <w:rStyle w:val="Hyperlink"/>
            <w:rFonts w:cs="Helvetica"/>
            <w:sz w:val="24"/>
            <w:szCs w:val="24"/>
          </w:rPr>
          <w:t>https://www.youtube.com/watch?v=VBPvqSnRaQI</w:t>
        </w:r>
      </w:hyperlink>
    </w:p>
    <w:p w:rsidR="00AA0F39" w:rsidRDefault="00AA0F39" w:rsidP="00AA0F39">
      <w:pPr>
        <w:spacing w:after="0" w:line="300" w:lineRule="exact"/>
        <w:jc w:val="both"/>
        <w:rPr>
          <w:rFonts w:cs="Helvetica"/>
          <w:color w:val="202124"/>
        </w:rPr>
      </w:pPr>
    </w:p>
    <w:p w:rsidR="00AA0F39" w:rsidRDefault="00AA0F39" w:rsidP="00A30E52">
      <w:pPr>
        <w:spacing w:after="0" w:line="300" w:lineRule="exact"/>
        <w:jc w:val="both"/>
        <w:rPr>
          <w:rFonts w:cs="Helvetica"/>
          <w:b/>
          <w:color w:val="202124"/>
        </w:rPr>
      </w:pPr>
    </w:p>
    <w:p w:rsidR="00564096" w:rsidRDefault="00564096" w:rsidP="00A30E52">
      <w:pPr>
        <w:spacing w:after="0" w:line="300" w:lineRule="exact"/>
        <w:jc w:val="both"/>
        <w:rPr>
          <w:rFonts w:cs="Helvetica"/>
          <w:b/>
          <w:color w:val="202124"/>
        </w:rPr>
      </w:pPr>
    </w:p>
    <w:p w:rsidR="00BB2B71" w:rsidRPr="00BB2B71" w:rsidRDefault="00BB2B71" w:rsidP="00BB2B71">
      <w:pPr>
        <w:spacing w:after="0" w:line="240" w:lineRule="auto"/>
        <w:jc w:val="both"/>
        <w:rPr>
          <w:rFonts w:cs="Helvetica"/>
          <w:b/>
          <w:color w:val="202124"/>
          <w:sz w:val="10"/>
          <w:szCs w:val="10"/>
        </w:rPr>
      </w:pPr>
    </w:p>
    <w:p w:rsidR="008A7D20" w:rsidRPr="007A0F36" w:rsidRDefault="008A7D20" w:rsidP="00A30E52">
      <w:pPr>
        <w:spacing w:after="0" w:line="300" w:lineRule="exact"/>
        <w:jc w:val="both"/>
        <w:rPr>
          <w:rFonts w:cs="Helvetica"/>
          <w:color w:val="202124"/>
          <w:sz w:val="24"/>
          <w:szCs w:val="24"/>
        </w:rPr>
      </w:pPr>
      <w:r w:rsidRPr="007A0F36">
        <w:rPr>
          <w:rFonts w:cs="Helvetica"/>
          <w:b/>
          <w:color w:val="202124"/>
          <w:sz w:val="24"/>
          <w:szCs w:val="24"/>
        </w:rPr>
        <w:t xml:space="preserve">Oberstufe: </w:t>
      </w:r>
      <w:r w:rsidR="00A30E52" w:rsidRPr="007A0F36">
        <w:rPr>
          <w:rFonts w:cs="Helvetica"/>
          <w:color w:val="202124"/>
          <w:sz w:val="24"/>
          <w:szCs w:val="24"/>
        </w:rPr>
        <w:t xml:space="preserve">Die Schülerinnen und Schüler </w:t>
      </w:r>
      <w:r w:rsidRPr="007A0F36">
        <w:rPr>
          <w:rFonts w:cs="Helvetica"/>
          <w:color w:val="202124"/>
          <w:sz w:val="24"/>
          <w:szCs w:val="24"/>
        </w:rPr>
        <w:t>sehen sich den dreieinhalbminütigen Werbeclip an und notieren die jeweils genannten Argumente, die in der Raumkommission gegen</w:t>
      </w:r>
      <w:r w:rsidR="00AC4560">
        <w:rPr>
          <w:rFonts w:cs="Helvetica"/>
          <w:color w:val="202124"/>
          <w:sz w:val="24"/>
          <w:szCs w:val="24"/>
        </w:rPr>
        <w:t xml:space="preserve"> und für</w:t>
      </w:r>
      <w:r w:rsidRPr="007A0F36">
        <w:rPr>
          <w:rFonts w:cs="Helvetica"/>
          <w:color w:val="202124"/>
          <w:sz w:val="24"/>
          <w:szCs w:val="24"/>
        </w:rPr>
        <w:t xml:space="preserve"> den Erhalt der Erde vorgebracht werden. Sie ergänzen die Argumente um mindestens zwei weitere überzeugende Gesichtspunkte und finden passende Beispiele bzw. Belege, um die Argumente abzusichern. Sie notieren, um die Position, die für die Abscha</w:t>
      </w:r>
      <w:r w:rsidR="00A245AD" w:rsidRPr="007A0F36">
        <w:rPr>
          <w:rFonts w:cs="Helvetica"/>
          <w:color w:val="202124"/>
          <w:sz w:val="24"/>
          <w:szCs w:val="24"/>
        </w:rPr>
        <w:t xml:space="preserve">ffung des Planeten eintritt, zu </w:t>
      </w:r>
      <w:r w:rsidRPr="007A0F36">
        <w:rPr>
          <w:rFonts w:cs="Helvetica"/>
          <w:color w:val="202124"/>
          <w:sz w:val="24"/>
          <w:szCs w:val="24"/>
        </w:rPr>
        <w:t>entkräften, möglichst überzeugende Gegenargumente</w:t>
      </w:r>
      <w:r w:rsidR="0038077A" w:rsidRPr="007A0F36">
        <w:rPr>
          <w:rFonts w:cs="Helvetica"/>
          <w:color w:val="202124"/>
          <w:sz w:val="24"/>
          <w:szCs w:val="24"/>
        </w:rPr>
        <w:t xml:space="preserve"> und diskutieren diese in Partnerarbeit</w:t>
      </w:r>
      <w:r w:rsidRPr="007A0F36">
        <w:rPr>
          <w:rFonts w:cs="Helvetica"/>
          <w:color w:val="202124"/>
          <w:sz w:val="24"/>
          <w:szCs w:val="24"/>
        </w:rPr>
        <w:t>.</w:t>
      </w:r>
    </w:p>
    <w:p w:rsidR="006D3A99" w:rsidRPr="007A0F36" w:rsidRDefault="008A7D20" w:rsidP="00A30E52">
      <w:pPr>
        <w:spacing w:after="0" w:line="300" w:lineRule="exact"/>
        <w:jc w:val="both"/>
        <w:rPr>
          <w:rFonts w:cs="Helvetica"/>
          <w:color w:val="202124"/>
          <w:sz w:val="24"/>
          <w:szCs w:val="24"/>
        </w:rPr>
      </w:pPr>
      <w:r w:rsidRPr="007A0F36">
        <w:rPr>
          <w:rFonts w:cs="Helvetica"/>
          <w:color w:val="202124"/>
          <w:sz w:val="24"/>
          <w:szCs w:val="24"/>
        </w:rPr>
        <w:t>Im Anschluss strukturieren Sie in Kleingruppen</w:t>
      </w:r>
      <w:r w:rsidR="006D3A99" w:rsidRPr="007A0F36">
        <w:rPr>
          <w:rFonts w:cs="Helvetica"/>
          <w:color w:val="202124"/>
          <w:sz w:val="24"/>
          <w:szCs w:val="24"/>
        </w:rPr>
        <w:t xml:space="preserve"> ihren</w:t>
      </w:r>
      <w:r w:rsidRPr="007A0F36">
        <w:rPr>
          <w:rFonts w:cs="Helvetica"/>
          <w:color w:val="202124"/>
          <w:sz w:val="24"/>
          <w:szCs w:val="24"/>
        </w:rPr>
        <w:t xml:space="preserve"> Argumentationsgang, um ein möglichst überzeugendes Plädoyer unter dem Titel „Rettet unseren Planeten</w:t>
      </w:r>
      <w:r w:rsidR="006D3A99" w:rsidRPr="007A0F36">
        <w:rPr>
          <w:rFonts w:cs="Helvetica"/>
          <w:color w:val="202124"/>
          <w:sz w:val="24"/>
          <w:szCs w:val="24"/>
        </w:rPr>
        <w:t>!</w:t>
      </w:r>
      <w:r w:rsidRPr="007A0F36">
        <w:rPr>
          <w:rFonts w:cs="Helvetica"/>
          <w:color w:val="202124"/>
          <w:sz w:val="24"/>
          <w:szCs w:val="24"/>
        </w:rPr>
        <w:t>“ zu halten. Einzelne Plädoyers werden nach Losverfahren im Plenum präsentiert.</w:t>
      </w:r>
      <w:r w:rsidR="006D3A99" w:rsidRPr="007A0F36">
        <w:rPr>
          <w:rFonts w:cs="Helvetica"/>
          <w:color w:val="202124"/>
          <w:sz w:val="24"/>
          <w:szCs w:val="24"/>
        </w:rPr>
        <w:t xml:space="preserve"> Währenddessen ergänzen die zuhörenden Schülerinnen und Schüler ihre vorbereiteten Ergebnisse.</w:t>
      </w:r>
    </w:p>
    <w:p w:rsidR="00AA0F39" w:rsidRPr="007A0F36" w:rsidRDefault="00AA0F39" w:rsidP="00A30E52">
      <w:pPr>
        <w:spacing w:after="0" w:line="300" w:lineRule="exact"/>
        <w:jc w:val="both"/>
        <w:rPr>
          <w:rFonts w:cs="Helvetica"/>
          <w:color w:val="202124"/>
          <w:sz w:val="24"/>
          <w:szCs w:val="24"/>
        </w:rPr>
      </w:pPr>
    </w:p>
    <w:p w:rsidR="00AA0F39" w:rsidRPr="007A0F36" w:rsidRDefault="00AA0F39" w:rsidP="00AA0F39">
      <w:pPr>
        <w:spacing w:after="0" w:line="300" w:lineRule="exact"/>
        <w:jc w:val="both"/>
        <w:rPr>
          <w:rFonts w:cs="Helvetica"/>
          <w:color w:val="202124"/>
          <w:sz w:val="24"/>
          <w:szCs w:val="24"/>
        </w:rPr>
      </w:pPr>
      <w:r w:rsidRPr="007A0F36">
        <w:rPr>
          <w:rFonts w:cs="Helvetica"/>
          <w:color w:val="202124"/>
          <w:sz w:val="24"/>
          <w:szCs w:val="24"/>
        </w:rPr>
        <w:t xml:space="preserve">Es ist sicherlich sinnvoll, den Schülerinnen und Schülern bereits zu Beginn die einzelnen Arbeitsschritte zu verdeutlichen und sie darauf hinzuweisen, dass am Ende jede Person in der Lage sein sollte, ein Plädoyer zu halten, das die Standpunkte des Werbeclips aufnimmt und ergänzt. </w:t>
      </w:r>
    </w:p>
    <w:p w:rsidR="00C0033D" w:rsidRPr="007A0F36" w:rsidRDefault="00C0033D" w:rsidP="00AA0F39">
      <w:pPr>
        <w:spacing w:after="0" w:line="300" w:lineRule="exact"/>
        <w:jc w:val="both"/>
        <w:rPr>
          <w:rFonts w:cs="Helvetica"/>
          <w:color w:val="202124"/>
          <w:sz w:val="24"/>
          <w:szCs w:val="24"/>
        </w:rPr>
      </w:pPr>
    </w:p>
    <w:p w:rsidR="00C0033D" w:rsidRPr="007A0F36" w:rsidRDefault="00C0033D" w:rsidP="00AA0F39">
      <w:pPr>
        <w:spacing w:after="0" w:line="300" w:lineRule="exact"/>
        <w:jc w:val="both"/>
        <w:rPr>
          <w:rFonts w:cs="Helvetica"/>
          <w:color w:val="202124"/>
          <w:sz w:val="24"/>
          <w:szCs w:val="24"/>
        </w:rPr>
      </w:pPr>
      <w:r w:rsidRPr="007A0F36">
        <w:rPr>
          <w:rFonts w:cs="Helvetica"/>
          <w:color w:val="202124"/>
          <w:sz w:val="24"/>
          <w:szCs w:val="24"/>
        </w:rPr>
        <w:t xml:space="preserve">Eine Übersicht zu den im Werbeclip genannten Argumenten findet sich unter </w:t>
      </w:r>
      <w:hyperlink r:id="rId10" w:history="1">
        <w:r w:rsidRPr="007A0F36">
          <w:rPr>
            <w:rStyle w:val="Hyperlink"/>
            <w:rFonts w:cs="Helvetica"/>
            <w:sz w:val="24"/>
            <w:szCs w:val="24"/>
          </w:rPr>
          <w:t>http://www.goethe.de/pro/filmab/werbefilme/Greenpeace_Hinweise_fuer_Lehrende.pdf</w:t>
        </w:r>
      </w:hyperlink>
      <w:r w:rsidR="007A0F36" w:rsidRPr="007A0F36">
        <w:rPr>
          <w:rFonts w:cs="Helvetica"/>
          <w:color w:val="202124"/>
          <w:sz w:val="24"/>
          <w:szCs w:val="24"/>
        </w:rPr>
        <w:t>, S. 2, ad Aufgabe 5 a) und b)</w:t>
      </w:r>
    </w:p>
    <w:p w:rsidR="00C0033D" w:rsidRPr="007A0F36" w:rsidRDefault="00C0033D" w:rsidP="00AA0F39">
      <w:pPr>
        <w:spacing w:after="0" w:line="300" w:lineRule="exact"/>
        <w:jc w:val="both"/>
        <w:rPr>
          <w:rFonts w:cs="Helvetica"/>
          <w:color w:val="202124"/>
          <w:sz w:val="24"/>
          <w:szCs w:val="24"/>
        </w:rPr>
      </w:pPr>
    </w:p>
    <w:p w:rsidR="00564096" w:rsidRDefault="00564096">
      <w:pPr>
        <w:spacing w:after="160" w:line="259" w:lineRule="auto"/>
        <w:rPr>
          <w:rFonts w:cs="Helvetica"/>
          <w:color w:val="202124"/>
          <w:sz w:val="24"/>
          <w:szCs w:val="24"/>
        </w:rPr>
      </w:pPr>
      <w:r>
        <w:rPr>
          <w:rFonts w:cs="Helvetica"/>
          <w:color w:val="202124"/>
          <w:sz w:val="24"/>
          <w:szCs w:val="24"/>
        </w:rPr>
        <w:br w:type="page"/>
      </w:r>
    </w:p>
    <w:p w:rsidR="00AA0F39" w:rsidRPr="007A0F36" w:rsidRDefault="00AA0F39" w:rsidP="00A30E52">
      <w:pPr>
        <w:spacing w:after="0" w:line="300" w:lineRule="exact"/>
        <w:jc w:val="both"/>
        <w:rPr>
          <w:rFonts w:cs="Helvetica"/>
          <w:color w:val="202124"/>
          <w:sz w:val="24"/>
          <w:szCs w:val="24"/>
        </w:rPr>
      </w:pPr>
    </w:p>
    <w:p w:rsidR="00AA0F39" w:rsidRPr="007A0F36" w:rsidRDefault="00AA0F39" w:rsidP="00A30E52">
      <w:pPr>
        <w:spacing w:after="0" w:line="300" w:lineRule="exact"/>
        <w:jc w:val="both"/>
        <w:rPr>
          <w:rFonts w:cs="Helvetica"/>
          <w:color w:val="202124"/>
          <w:sz w:val="24"/>
          <w:szCs w:val="24"/>
        </w:rPr>
      </w:pPr>
    </w:p>
    <w:p w:rsidR="00ED230E" w:rsidRPr="007A0F36" w:rsidRDefault="008A7D20" w:rsidP="00A30E52">
      <w:pPr>
        <w:spacing w:after="0" w:line="300" w:lineRule="exact"/>
        <w:jc w:val="both"/>
        <w:rPr>
          <w:rFonts w:cs="Helvetica"/>
          <w:color w:val="202124"/>
          <w:sz w:val="24"/>
          <w:szCs w:val="24"/>
        </w:rPr>
      </w:pPr>
      <w:r w:rsidRPr="007A0F36">
        <w:rPr>
          <w:rFonts w:cs="Helvetica"/>
          <w:b/>
          <w:color w:val="202124"/>
          <w:sz w:val="24"/>
          <w:szCs w:val="24"/>
        </w:rPr>
        <w:t xml:space="preserve">Mittelstufe: </w:t>
      </w:r>
      <w:r w:rsidR="006D3A99" w:rsidRPr="007A0F36">
        <w:rPr>
          <w:rFonts w:cs="Helvetica"/>
          <w:b/>
          <w:color w:val="202124"/>
          <w:sz w:val="24"/>
          <w:szCs w:val="24"/>
        </w:rPr>
        <w:t xml:space="preserve"> </w:t>
      </w:r>
      <w:r w:rsidR="00402F60" w:rsidRPr="007A0F36">
        <w:rPr>
          <w:rFonts w:cs="Helvetica"/>
          <w:color w:val="202124"/>
          <w:sz w:val="24"/>
          <w:szCs w:val="24"/>
        </w:rPr>
        <w:t xml:space="preserve">Für diese Zielgruppe eignen sich ein kleinschrittigeres </w:t>
      </w:r>
      <w:r w:rsidR="00BB2B71" w:rsidRPr="007A0F36">
        <w:rPr>
          <w:rFonts w:cs="Helvetica"/>
          <w:color w:val="202124"/>
          <w:sz w:val="24"/>
          <w:szCs w:val="24"/>
        </w:rPr>
        <w:t xml:space="preserve">Vorgehen, das durch </w:t>
      </w:r>
      <w:r w:rsidR="00402F60" w:rsidRPr="007A0F36">
        <w:rPr>
          <w:rFonts w:cs="Helvetica"/>
          <w:color w:val="202124"/>
          <w:sz w:val="24"/>
          <w:szCs w:val="24"/>
        </w:rPr>
        <w:t>unterstützende Arbeitsblätter</w:t>
      </w:r>
      <w:r w:rsidR="00BB2B71" w:rsidRPr="007A0F36">
        <w:rPr>
          <w:rFonts w:cs="Helvetica"/>
          <w:color w:val="202124"/>
          <w:sz w:val="24"/>
          <w:szCs w:val="24"/>
        </w:rPr>
        <w:t xml:space="preserve"> angeleitet wird</w:t>
      </w:r>
      <w:r w:rsidR="00402F60" w:rsidRPr="007A0F36">
        <w:rPr>
          <w:rFonts w:cs="Helvetica"/>
          <w:color w:val="202124"/>
          <w:sz w:val="24"/>
          <w:szCs w:val="24"/>
        </w:rPr>
        <w:t xml:space="preserve">. </w:t>
      </w:r>
    </w:p>
    <w:p w:rsidR="00493D72" w:rsidRPr="007A0F36" w:rsidRDefault="00402F60" w:rsidP="00A30E52">
      <w:pPr>
        <w:spacing w:after="0" w:line="300" w:lineRule="exact"/>
        <w:jc w:val="both"/>
        <w:rPr>
          <w:rFonts w:cs="Helvetica"/>
          <w:color w:val="202124"/>
          <w:sz w:val="24"/>
          <w:szCs w:val="24"/>
        </w:rPr>
      </w:pPr>
      <w:r w:rsidRPr="007A0F36">
        <w:rPr>
          <w:rFonts w:cs="Helvetica"/>
          <w:color w:val="202124"/>
          <w:sz w:val="24"/>
          <w:szCs w:val="24"/>
        </w:rPr>
        <w:t xml:space="preserve">Empfehlenswerte </w:t>
      </w:r>
      <w:r w:rsidR="006D3A99" w:rsidRPr="007A0F36">
        <w:rPr>
          <w:rFonts w:cs="Helvetica"/>
          <w:color w:val="202124"/>
          <w:sz w:val="24"/>
          <w:szCs w:val="24"/>
        </w:rPr>
        <w:t>Unterrichtsmaterialien</w:t>
      </w:r>
      <w:r w:rsidRPr="007A0F36">
        <w:rPr>
          <w:rFonts w:cs="Helvetica"/>
          <w:color w:val="202124"/>
          <w:sz w:val="24"/>
          <w:szCs w:val="24"/>
        </w:rPr>
        <w:t xml:space="preserve"> hierzu </w:t>
      </w:r>
      <w:r w:rsidR="00493D72" w:rsidRPr="007A0F36">
        <w:rPr>
          <w:rFonts w:cs="Helvetica"/>
          <w:color w:val="202124"/>
          <w:sz w:val="24"/>
          <w:szCs w:val="24"/>
        </w:rPr>
        <w:t>finden sich auf der Internetseite des</w:t>
      </w:r>
      <w:r w:rsidRPr="007A0F36">
        <w:rPr>
          <w:rFonts w:cs="Helvetica"/>
          <w:color w:val="202124"/>
          <w:sz w:val="24"/>
          <w:szCs w:val="24"/>
        </w:rPr>
        <w:t xml:space="preserve"> Goethe-Institut</w:t>
      </w:r>
      <w:r w:rsidR="00493D72" w:rsidRPr="007A0F36">
        <w:rPr>
          <w:rFonts w:cs="Helvetica"/>
          <w:color w:val="202124"/>
          <w:sz w:val="24"/>
          <w:szCs w:val="24"/>
        </w:rPr>
        <w:t>s</w:t>
      </w:r>
      <w:r w:rsidRPr="007A0F36">
        <w:rPr>
          <w:rFonts w:cs="Helvetica"/>
          <w:color w:val="202124"/>
          <w:sz w:val="24"/>
          <w:szCs w:val="24"/>
        </w:rPr>
        <w:t xml:space="preserve"> unter </w:t>
      </w:r>
      <w:hyperlink r:id="rId11" w:history="1">
        <w:r w:rsidRPr="007A0F36">
          <w:rPr>
            <w:rStyle w:val="Hyperlink"/>
            <w:rFonts w:cs="Helvetica"/>
            <w:sz w:val="24"/>
            <w:szCs w:val="24"/>
          </w:rPr>
          <w:t>https://www.goethe.de/lhr/prj/fab/wer/de12801146.htm</w:t>
        </w:r>
      </w:hyperlink>
      <w:r w:rsidR="006D3A99" w:rsidRPr="007A0F36">
        <w:rPr>
          <w:rFonts w:cs="Helvetica"/>
          <w:color w:val="202124"/>
          <w:sz w:val="24"/>
          <w:szCs w:val="24"/>
        </w:rPr>
        <w:t xml:space="preserve">. </w:t>
      </w:r>
      <w:r w:rsidRPr="007A0F36">
        <w:rPr>
          <w:rFonts w:cs="Helvetica"/>
          <w:color w:val="202124"/>
          <w:sz w:val="24"/>
          <w:szCs w:val="24"/>
        </w:rPr>
        <w:t>Die Materialien, die sich für den direkten Einsatz im Unterricht eignen, umfassen Arbeitsblätter, Hinweise für Lehrende und Dialogliste bzw. Manuskript.</w:t>
      </w:r>
      <w:r w:rsidR="006D3A99" w:rsidRPr="007A0F36">
        <w:rPr>
          <w:rFonts w:cs="Helvetica"/>
          <w:color w:val="202124"/>
          <w:sz w:val="24"/>
          <w:szCs w:val="24"/>
        </w:rPr>
        <w:t xml:space="preserve"> </w:t>
      </w:r>
    </w:p>
    <w:p w:rsidR="008A7D20" w:rsidRPr="007A0F36" w:rsidRDefault="00AF1CED" w:rsidP="00A30E52">
      <w:pPr>
        <w:spacing w:after="0" w:line="300" w:lineRule="exact"/>
        <w:jc w:val="both"/>
        <w:rPr>
          <w:rFonts w:cs="Helvetica"/>
          <w:color w:val="202124"/>
          <w:sz w:val="24"/>
          <w:szCs w:val="24"/>
        </w:rPr>
      </w:pPr>
      <w:r w:rsidRPr="007A0F36">
        <w:rPr>
          <w:rFonts w:cs="Helvetica"/>
          <w:color w:val="202124"/>
          <w:sz w:val="24"/>
          <w:szCs w:val="24"/>
        </w:rPr>
        <w:t xml:space="preserve">Zu Beginn </w:t>
      </w:r>
      <w:r w:rsidR="00493D72" w:rsidRPr="007A0F36">
        <w:rPr>
          <w:rFonts w:cs="Helvetica"/>
          <w:color w:val="202124"/>
          <w:sz w:val="24"/>
          <w:szCs w:val="24"/>
        </w:rPr>
        <w:t>steht eine Assoziationsübung: D</w:t>
      </w:r>
      <w:r w:rsidRPr="007A0F36">
        <w:rPr>
          <w:rFonts w:cs="Helvetica"/>
          <w:color w:val="202124"/>
          <w:sz w:val="24"/>
          <w:szCs w:val="24"/>
        </w:rPr>
        <w:t xml:space="preserve">ie Schülerinnen und Schüler </w:t>
      </w:r>
      <w:r w:rsidR="00493D72" w:rsidRPr="007A0F36">
        <w:rPr>
          <w:rFonts w:cs="Helvetica"/>
          <w:color w:val="202124"/>
          <w:sz w:val="24"/>
          <w:szCs w:val="24"/>
        </w:rPr>
        <w:t>hören den Trailer und stellen dabei</w:t>
      </w:r>
      <w:r w:rsidRPr="007A0F36">
        <w:rPr>
          <w:rFonts w:cs="Helvetica"/>
          <w:color w:val="202124"/>
          <w:sz w:val="24"/>
          <w:szCs w:val="24"/>
        </w:rPr>
        <w:t xml:space="preserve"> </w:t>
      </w:r>
      <w:r w:rsidR="00493D72" w:rsidRPr="007A0F36">
        <w:rPr>
          <w:rFonts w:cs="Helvetica"/>
          <w:color w:val="202124"/>
          <w:sz w:val="24"/>
          <w:szCs w:val="24"/>
        </w:rPr>
        <w:t>über Musik und Geräusch</w:t>
      </w:r>
      <w:r w:rsidR="009B34A1" w:rsidRPr="007A0F36">
        <w:rPr>
          <w:rFonts w:cs="Helvetica"/>
          <w:color w:val="202124"/>
          <w:sz w:val="24"/>
          <w:szCs w:val="24"/>
        </w:rPr>
        <w:t>e</w:t>
      </w:r>
      <w:r w:rsidR="00493D72" w:rsidRPr="007A0F36">
        <w:rPr>
          <w:rFonts w:cs="Helvetica"/>
          <w:color w:val="202124"/>
          <w:sz w:val="24"/>
          <w:szCs w:val="24"/>
        </w:rPr>
        <w:t xml:space="preserve"> </w:t>
      </w:r>
      <w:r w:rsidRPr="007A0F36">
        <w:rPr>
          <w:rFonts w:cs="Helvetica"/>
          <w:color w:val="202124"/>
          <w:sz w:val="24"/>
          <w:szCs w:val="24"/>
        </w:rPr>
        <w:t>Anleihen an die Science-Fiction-Tradition</w:t>
      </w:r>
      <w:r w:rsidR="00493D72" w:rsidRPr="007A0F36">
        <w:rPr>
          <w:rFonts w:cs="Helvetica"/>
          <w:color w:val="202124"/>
          <w:sz w:val="24"/>
          <w:szCs w:val="24"/>
        </w:rPr>
        <w:t xml:space="preserve"> fest</w:t>
      </w:r>
      <w:r w:rsidRPr="007A0F36">
        <w:rPr>
          <w:rFonts w:cs="Helvetica"/>
          <w:color w:val="202124"/>
          <w:sz w:val="24"/>
          <w:szCs w:val="24"/>
        </w:rPr>
        <w:t xml:space="preserve">. </w:t>
      </w:r>
      <w:r w:rsidR="00493D72" w:rsidRPr="007A0F36">
        <w:rPr>
          <w:rFonts w:cs="Helvetica"/>
          <w:color w:val="202124"/>
          <w:sz w:val="24"/>
          <w:szCs w:val="24"/>
        </w:rPr>
        <w:t xml:space="preserve">Anhand der visuellen Eindrücke </w:t>
      </w:r>
      <w:r w:rsidR="009B34A1" w:rsidRPr="007A0F36">
        <w:rPr>
          <w:rFonts w:cs="Helvetica"/>
          <w:color w:val="202124"/>
          <w:sz w:val="24"/>
          <w:szCs w:val="24"/>
        </w:rPr>
        <w:t xml:space="preserve">können </w:t>
      </w:r>
      <w:r w:rsidR="00493D72" w:rsidRPr="007A0F36">
        <w:rPr>
          <w:rFonts w:cs="Helvetica"/>
          <w:color w:val="202124"/>
          <w:sz w:val="24"/>
          <w:szCs w:val="24"/>
        </w:rPr>
        <w:t xml:space="preserve">diese ersten Überlegungen </w:t>
      </w:r>
      <w:r w:rsidR="009B34A1" w:rsidRPr="007A0F36">
        <w:rPr>
          <w:rFonts w:cs="Helvetica"/>
          <w:color w:val="202124"/>
          <w:sz w:val="24"/>
          <w:szCs w:val="24"/>
        </w:rPr>
        <w:t>überprüft und untermauert werden.</w:t>
      </w:r>
      <w:r w:rsidR="00493D72" w:rsidRPr="007A0F36">
        <w:rPr>
          <w:rFonts w:cs="Helvetica"/>
          <w:color w:val="202124"/>
          <w:sz w:val="24"/>
          <w:szCs w:val="24"/>
        </w:rPr>
        <w:t xml:space="preserve"> </w:t>
      </w:r>
      <w:r w:rsidR="00FF6D59" w:rsidRPr="007A0F36">
        <w:rPr>
          <w:rFonts w:cs="Helvetica"/>
          <w:color w:val="202124"/>
          <w:sz w:val="24"/>
          <w:szCs w:val="24"/>
        </w:rPr>
        <w:t xml:space="preserve">Hieran schließen sich zwei Wortschatz- bzw. Begriffsübungen an. In einem nächsten Schritt </w:t>
      </w:r>
      <w:r w:rsidR="00ED230E" w:rsidRPr="007A0F36">
        <w:rPr>
          <w:rFonts w:cs="Helvetica"/>
          <w:color w:val="202124"/>
          <w:sz w:val="24"/>
          <w:szCs w:val="24"/>
        </w:rPr>
        <w:t>werden die</w:t>
      </w:r>
      <w:r w:rsidR="00FF6D59" w:rsidRPr="007A0F36">
        <w:rPr>
          <w:rFonts w:cs="Helvetica"/>
          <w:color w:val="202124"/>
          <w:sz w:val="24"/>
          <w:szCs w:val="24"/>
        </w:rPr>
        <w:t xml:space="preserve"> Argumente, die im Video-</w:t>
      </w:r>
      <w:r w:rsidR="00106567" w:rsidRPr="007A0F36">
        <w:rPr>
          <w:rFonts w:cs="Helvetica"/>
          <w:color w:val="202124"/>
          <w:sz w:val="24"/>
          <w:szCs w:val="24"/>
        </w:rPr>
        <w:t xml:space="preserve">Clip </w:t>
      </w:r>
      <w:r w:rsidR="00FF6D59" w:rsidRPr="007A0F36">
        <w:rPr>
          <w:rFonts w:cs="Helvetica"/>
          <w:color w:val="202124"/>
          <w:sz w:val="24"/>
          <w:szCs w:val="24"/>
        </w:rPr>
        <w:t>für und gegen den Erhalt der Erde angeführt werden</w:t>
      </w:r>
      <w:r w:rsidR="00ED230E" w:rsidRPr="007A0F36">
        <w:rPr>
          <w:rFonts w:cs="Helvetica"/>
          <w:color w:val="202124"/>
          <w:sz w:val="24"/>
          <w:szCs w:val="24"/>
        </w:rPr>
        <w:t>, erfasst</w:t>
      </w:r>
      <w:r w:rsidR="00FF6D59" w:rsidRPr="007A0F36">
        <w:rPr>
          <w:rFonts w:cs="Helvetica"/>
          <w:color w:val="202124"/>
          <w:sz w:val="24"/>
          <w:szCs w:val="24"/>
        </w:rPr>
        <w:t xml:space="preserve">. Hier bietet sich auch eine Vertiefung an, die darin bestehen kann, die genannten Aspekte durch </w:t>
      </w:r>
      <w:r w:rsidR="00106567" w:rsidRPr="007A0F36">
        <w:rPr>
          <w:rFonts w:cs="Helvetica"/>
          <w:color w:val="202124"/>
          <w:sz w:val="24"/>
          <w:szCs w:val="24"/>
        </w:rPr>
        <w:t>weitere Beispiele</w:t>
      </w:r>
      <w:r w:rsidR="00FF6D59" w:rsidRPr="007A0F36">
        <w:rPr>
          <w:rFonts w:cs="Helvetica"/>
          <w:color w:val="202124"/>
          <w:sz w:val="24"/>
          <w:szCs w:val="24"/>
        </w:rPr>
        <w:t xml:space="preserve"> zu</w:t>
      </w:r>
      <w:r w:rsidR="00106567" w:rsidRPr="007A0F36">
        <w:rPr>
          <w:rFonts w:cs="Helvetica"/>
          <w:color w:val="202124"/>
          <w:sz w:val="24"/>
          <w:szCs w:val="24"/>
        </w:rPr>
        <w:t xml:space="preserve"> untermauern. </w:t>
      </w:r>
      <w:r w:rsidR="00FF6D59" w:rsidRPr="007A0F36">
        <w:rPr>
          <w:rFonts w:cs="Helvetica"/>
          <w:color w:val="202124"/>
          <w:sz w:val="24"/>
          <w:szCs w:val="24"/>
        </w:rPr>
        <w:t xml:space="preserve">Binnendifferenzierende Arbeitsaufträge </w:t>
      </w:r>
      <w:r w:rsidR="00ED230E" w:rsidRPr="007A0F36">
        <w:rPr>
          <w:rFonts w:cs="Helvetica"/>
          <w:color w:val="202124"/>
          <w:sz w:val="24"/>
          <w:szCs w:val="24"/>
        </w:rPr>
        <w:t>zu</w:t>
      </w:r>
      <w:r w:rsidR="00FF6D59" w:rsidRPr="007A0F36">
        <w:rPr>
          <w:rFonts w:cs="Helvetica"/>
          <w:color w:val="202124"/>
          <w:sz w:val="24"/>
          <w:szCs w:val="24"/>
        </w:rPr>
        <w:t xml:space="preserve"> vielfältige</w:t>
      </w:r>
      <w:r w:rsidR="00ED230E" w:rsidRPr="007A0F36">
        <w:rPr>
          <w:rFonts w:cs="Helvetica"/>
          <w:color w:val="202124"/>
          <w:sz w:val="24"/>
          <w:szCs w:val="24"/>
        </w:rPr>
        <w:t>n</w:t>
      </w:r>
      <w:r w:rsidR="00FF6D59" w:rsidRPr="007A0F36">
        <w:rPr>
          <w:rFonts w:cs="Helvetica"/>
          <w:color w:val="202124"/>
          <w:sz w:val="24"/>
          <w:szCs w:val="24"/>
        </w:rPr>
        <w:t xml:space="preserve"> Sprechsituationen, die vom Nachspielen der Situation im Werbespot bis hin zu einer durch eigene Ergänzungen entwickelten Podiumsdiskussion reichen können, sind je nach </w:t>
      </w:r>
      <w:r w:rsidR="009B0863" w:rsidRPr="007A0F36">
        <w:rPr>
          <w:rFonts w:cs="Helvetica"/>
          <w:color w:val="202124"/>
          <w:sz w:val="24"/>
          <w:szCs w:val="24"/>
        </w:rPr>
        <w:t>Lern</w:t>
      </w:r>
      <w:r w:rsidR="00FF6D59" w:rsidRPr="007A0F36">
        <w:rPr>
          <w:rFonts w:cs="Helvetica"/>
          <w:color w:val="202124"/>
          <w:sz w:val="24"/>
          <w:szCs w:val="24"/>
        </w:rPr>
        <w:t xml:space="preserve">gruppe denkbar. </w:t>
      </w:r>
      <w:r w:rsidR="00862419" w:rsidRPr="007A0F36">
        <w:rPr>
          <w:rFonts w:cs="Helvetica"/>
          <w:color w:val="202124"/>
          <w:sz w:val="24"/>
          <w:szCs w:val="24"/>
        </w:rPr>
        <w:t xml:space="preserve">Sinnvoll ist es sicherlich, </w:t>
      </w:r>
      <w:r w:rsidR="009B0863" w:rsidRPr="007A0F36">
        <w:rPr>
          <w:rFonts w:cs="Helvetica"/>
          <w:color w:val="202124"/>
          <w:sz w:val="24"/>
          <w:szCs w:val="24"/>
        </w:rPr>
        <w:t xml:space="preserve">die Schülerinnen und Schüler selbst abschließend Stellung zu den beiden Standpunkten beziehen zu lassen.  </w:t>
      </w:r>
      <w:r w:rsidR="00862419" w:rsidRPr="007A0F36">
        <w:rPr>
          <w:rFonts w:cs="Helvetica"/>
          <w:color w:val="202124"/>
          <w:sz w:val="24"/>
          <w:szCs w:val="24"/>
        </w:rPr>
        <w:t xml:space="preserve">Die Materialien des Goethe-Instituts schlagen </w:t>
      </w:r>
      <w:r w:rsidR="00ED230E" w:rsidRPr="007A0F36">
        <w:rPr>
          <w:rFonts w:cs="Helvetica"/>
          <w:color w:val="202124"/>
          <w:sz w:val="24"/>
          <w:szCs w:val="24"/>
        </w:rPr>
        <w:t xml:space="preserve">am Ende </w:t>
      </w:r>
      <w:r w:rsidR="00862419" w:rsidRPr="007A0F36">
        <w:rPr>
          <w:rFonts w:cs="Helvetica"/>
          <w:color w:val="202124"/>
          <w:sz w:val="24"/>
          <w:szCs w:val="24"/>
        </w:rPr>
        <w:t xml:space="preserve">eine Bewertung der </w:t>
      </w:r>
      <w:r w:rsidR="00ED230E" w:rsidRPr="007A0F36">
        <w:rPr>
          <w:rFonts w:cs="Helvetica"/>
          <w:color w:val="202124"/>
          <w:sz w:val="24"/>
          <w:szCs w:val="24"/>
        </w:rPr>
        <w:t>Werbek</w:t>
      </w:r>
      <w:r w:rsidR="00862419" w:rsidRPr="007A0F36">
        <w:rPr>
          <w:rFonts w:cs="Helvetica"/>
          <w:color w:val="202124"/>
          <w:sz w:val="24"/>
          <w:szCs w:val="24"/>
        </w:rPr>
        <w:t xml:space="preserve">ampagne </w:t>
      </w:r>
      <w:r w:rsidR="00AA0F39" w:rsidRPr="007A0F36">
        <w:rPr>
          <w:rFonts w:cs="Helvetica"/>
          <w:color w:val="202124"/>
          <w:sz w:val="24"/>
          <w:szCs w:val="24"/>
        </w:rPr>
        <w:t>vor.</w:t>
      </w:r>
      <w:r w:rsidR="00862419" w:rsidRPr="007A0F36">
        <w:rPr>
          <w:rFonts w:cs="Helvetica"/>
          <w:color w:val="202124"/>
          <w:sz w:val="24"/>
          <w:szCs w:val="24"/>
        </w:rPr>
        <w:t xml:space="preserve"> </w:t>
      </w:r>
      <w:r w:rsidR="00ED230E" w:rsidRPr="007A0F36">
        <w:rPr>
          <w:rFonts w:cs="Helvetica"/>
          <w:color w:val="202124"/>
          <w:sz w:val="24"/>
          <w:szCs w:val="24"/>
        </w:rPr>
        <w:t>Es bietet sich dabei an, die verschiedenen Haltungen zur Erfolgs- bzw. Misserfolgserwartung zu diskutieren und die Qualität der Argumente zu überprüfen.</w:t>
      </w:r>
    </w:p>
    <w:p w:rsidR="00402F60" w:rsidRDefault="00402F60" w:rsidP="00A30E52">
      <w:pPr>
        <w:spacing w:after="0" w:line="300" w:lineRule="exact"/>
        <w:jc w:val="both"/>
        <w:rPr>
          <w:rFonts w:cs="Helvetica"/>
          <w:b/>
          <w:color w:val="202124"/>
          <w:sz w:val="24"/>
          <w:szCs w:val="24"/>
        </w:rPr>
      </w:pPr>
    </w:p>
    <w:p w:rsidR="00564096" w:rsidRDefault="00564096" w:rsidP="00A30E52">
      <w:pPr>
        <w:spacing w:after="0" w:line="300" w:lineRule="exact"/>
        <w:jc w:val="both"/>
        <w:rPr>
          <w:rFonts w:cs="Helvetica"/>
          <w:b/>
          <w:color w:val="202124"/>
          <w:sz w:val="24"/>
          <w:szCs w:val="24"/>
        </w:rPr>
      </w:pPr>
    </w:p>
    <w:p w:rsidR="00564096" w:rsidRDefault="00564096" w:rsidP="00A30E52">
      <w:pPr>
        <w:spacing w:after="0" w:line="300" w:lineRule="exact"/>
        <w:jc w:val="both"/>
        <w:rPr>
          <w:rFonts w:cs="Helvetica"/>
          <w:b/>
          <w:color w:val="202124"/>
          <w:sz w:val="24"/>
          <w:szCs w:val="24"/>
        </w:rPr>
      </w:pPr>
    </w:p>
    <w:p w:rsidR="00564096" w:rsidRPr="007A0F36" w:rsidRDefault="00564096" w:rsidP="00A30E52">
      <w:pPr>
        <w:spacing w:after="0" w:line="300" w:lineRule="exact"/>
        <w:jc w:val="both"/>
        <w:rPr>
          <w:rFonts w:cs="Helvetica"/>
          <w:b/>
          <w:color w:val="202124"/>
          <w:sz w:val="24"/>
          <w:szCs w:val="24"/>
        </w:rPr>
      </w:pPr>
    </w:p>
    <w:p w:rsidR="00A245AD" w:rsidRPr="007A0F36" w:rsidRDefault="00A245AD" w:rsidP="00A30E52">
      <w:pPr>
        <w:spacing w:after="0" w:line="300" w:lineRule="exact"/>
        <w:jc w:val="both"/>
        <w:rPr>
          <w:rFonts w:cs="Helvetica"/>
          <w:color w:val="202124"/>
          <w:sz w:val="24"/>
          <w:szCs w:val="24"/>
        </w:rPr>
      </w:pPr>
    </w:p>
    <w:p w:rsidR="00D57D1D" w:rsidRPr="007A0F36" w:rsidRDefault="00D57D1D" w:rsidP="00A30E52">
      <w:pPr>
        <w:spacing w:after="0" w:line="300" w:lineRule="exact"/>
        <w:jc w:val="both"/>
        <w:rPr>
          <w:rFonts w:cs="Helvetica"/>
          <w:color w:val="202124"/>
          <w:sz w:val="24"/>
          <w:szCs w:val="24"/>
        </w:rPr>
      </w:pPr>
      <w:r w:rsidRPr="007A0F36">
        <w:rPr>
          <w:rFonts w:cs="Helvetica"/>
          <w:b/>
          <w:color w:val="202124"/>
          <w:sz w:val="24"/>
          <w:szCs w:val="24"/>
        </w:rPr>
        <w:t xml:space="preserve">Aktualisierung: </w:t>
      </w:r>
      <w:r w:rsidRPr="007A0F36">
        <w:rPr>
          <w:rFonts w:cs="Helvetica"/>
          <w:color w:val="202124"/>
          <w:sz w:val="24"/>
          <w:szCs w:val="24"/>
        </w:rPr>
        <w:t xml:space="preserve">Falls dieser Aspekt noch nicht in ausreichendem Maße von den Schülerinnen und Schülern in den Blick genommen worden sein sollte, kann am Ende ein Unterrichtsgespräch stehen, in dem die Frage diskutiert wird, was wir heute tun können, um zu verhindern, dass, wie in dem dystopischen Gedankenexperiment des Werbefilms, die Erde nur noch „abgeschrieben“ werden kann. </w:t>
      </w:r>
    </w:p>
    <w:p w:rsidR="00A30E52" w:rsidRPr="007A0F36" w:rsidRDefault="00D57D1D" w:rsidP="00A30E52">
      <w:pPr>
        <w:spacing w:after="0" w:line="300" w:lineRule="exact"/>
        <w:jc w:val="both"/>
        <w:rPr>
          <w:rFonts w:cs="Helvetica"/>
          <w:color w:val="202124"/>
          <w:sz w:val="24"/>
          <w:szCs w:val="24"/>
        </w:rPr>
      </w:pPr>
      <w:r w:rsidRPr="007A0F36">
        <w:rPr>
          <w:rFonts w:cs="Helvetica"/>
          <w:color w:val="202124"/>
          <w:sz w:val="24"/>
          <w:szCs w:val="24"/>
        </w:rPr>
        <w:t xml:space="preserve">Hier </w:t>
      </w:r>
      <w:r w:rsidR="00E47A3A" w:rsidRPr="007A0F36">
        <w:rPr>
          <w:rFonts w:cs="Helvetica"/>
          <w:color w:val="202124"/>
          <w:sz w:val="24"/>
          <w:szCs w:val="24"/>
        </w:rPr>
        <w:t>ist</w:t>
      </w:r>
      <w:r w:rsidRPr="007A0F36">
        <w:rPr>
          <w:rFonts w:cs="Helvetica"/>
          <w:color w:val="202124"/>
          <w:sz w:val="24"/>
          <w:szCs w:val="24"/>
        </w:rPr>
        <w:t xml:space="preserve"> auch eine Kooperation mit anderen Fächern (Geographie, Ethik, Global Studies etc.)</w:t>
      </w:r>
      <w:r w:rsidR="00E47A3A" w:rsidRPr="007A0F36">
        <w:rPr>
          <w:rFonts w:cs="Helvetica"/>
          <w:color w:val="202124"/>
          <w:sz w:val="24"/>
          <w:szCs w:val="24"/>
        </w:rPr>
        <w:t xml:space="preserve"> denkbar</w:t>
      </w:r>
      <w:r w:rsidRPr="007A0F36">
        <w:rPr>
          <w:rFonts w:cs="Helvetica"/>
          <w:color w:val="202124"/>
          <w:sz w:val="24"/>
          <w:szCs w:val="24"/>
        </w:rPr>
        <w:t>.</w:t>
      </w:r>
    </w:p>
    <w:p w:rsidR="00564096" w:rsidRDefault="00564096" w:rsidP="00A30E52">
      <w:pPr>
        <w:spacing w:after="0" w:line="300" w:lineRule="exact"/>
        <w:jc w:val="both"/>
        <w:rPr>
          <w:rFonts w:cs="Helvetica"/>
          <w:b/>
          <w:color w:val="202124"/>
          <w:sz w:val="24"/>
          <w:szCs w:val="24"/>
        </w:rPr>
      </w:pPr>
    </w:p>
    <w:p w:rsidR="00564096" w:rsidRPr="007A0F36" w:rsidRDefault="00564096" w:rsidP="00A30E52">
      <w:pPr>
        <w:spacing w:after="0" w:line="300" w:lineRule="exact"/>
        <w:jc w:val="both"/>
        <w:rPr>
          <w:rFonts w:cs="Helvetica"/>
          <w:b/>
          <w:color w:val="202124"/>
          <w:sz w:val="24"/>
          <w:szCs w:val="24"/>
        </w:rPr>
      </w:pPr>
      <w:bookmarkStart w:id="0" w:name="_GoBack"/>
      <w:bookmarkEnd w:id="0"/>
    </w:p>
    <w:p w:rsidR="00D57D1D" w:rsidRPr="007A0F36" w:rsidRDefault="00564096" w:rsidP="00D57D1D">
      <w:pPr>
        <w:spacing w:after="0" w:line="300" w:lineRule="exact"/>
        <w:jc w:val="both"/>
        <w:rPr>
          <w:rFonts w:cs="Helvetica"/>
          <w:color w:val="202124"/>
          <w:sz w:val="24"/>
          <w:szCs w:val="24"/>
        </w:rPr>
      </w:pPr>
      <w:r w:rsidRPr="00564096">
        <w:rPr>
          <w:rFonts w:cs="Helvetica"/>
          <w:b/>
          <w:color w:val="202124"/>
          <w:sz w:val="24"/>
          <w:szCs w:val="24"/>
        </w:rPr>
        <w:t>Reflexion des Arbeitsprozesses:</w:t>
      </w:r>
      <w:r>
        <w:rPr>
          <w:rFonts w:cs="Helvetica"/>
          <w:color w:val="202124"/>
          <w:sz w:val="24"/>
          <w:szCs w:val="24"/>
        </w:rPr>
        <w:t xml:space="preserve"> </w:t>
      </w:r>
      <w:r w:rsidR="00D57D1D" w:rsidRPr="007A0F36">
        <w:rPr>
          <w:rFonts w:cs="Helvetica"/>
          <w:color w:val="202124"/>
          <w:sz w:val="24"/>
          <w:szCs w:val="24"/>
        </w:rPr>
        <w:t xml:space="preserve">Den Abschluss der Sequenz könnte auch hier eine Reflexion des Arbeitsprozesses mit Hilfe eines Feedbacktools (Plickers, Pingo o. ä.) bilden. Dies bietet sich an, um die Schülerinnen und Schüler </w:t>
      </w:r>
      <w:r w:rsidR="00E47A3A" w:rsidRPr="007A0F36">
        <w:rPr>
          <w:rFonts w:cs="Helvetica"/>
          <w:color w:val="202124"/>
          <w:sz w:val="24"/>
          <w:szCs w:val="24"/>
        </w:rPr>
        <w:t xml:space="preserve">einerseits </w:t>
      </w:r>
      <w:r w:rsidR="00D57D1D" w:rsidRPr="007A0F36">
        <w:rPr>
          <w:rFonts w:cs="Helvetica"/>
          <w:color w:val="202124"/>
          <w:sz w:val="24"/>
          <w:szCs w:val="24"/>
        </w:rPr>
        <w:t>da</w:t>
      </w:r>
      <w:r w:rsidR="00AA0F39" w:rsidRPr="007A0F36">
        <w:rPr>
          <w:rFonts w:cs="Helvetica"/>
          <w:color w:val="202124"/>
          <w:sz w:val="24"/>
          <w:szCs w:val="24"/>
        </w:rPr>
        <w:t xml:space="preserve">zu anzuregen, den Nutzen des Vorgehens </w:t>
      </w:r>
      <w:r w:rsidR="00D57D1D" w:rsidRPr="007A0F36">
        <w:rPr>
          <w:rFonts w:cs="Helvetica"/>
          <w:color w:val="202124"/>
          <w:sz w:val="24"/>
          <w:szCs w:val="24"/>
        </w:rPr>
        <w:t>für argumentierende (Schreib-)Formen einzuschätzen</w:t>
      </w:r>
      <w:r w:rsidR="00E47A3A" w:rsidRPr="007A0F36">
        <w:rPr>
          <w:rFonts w:cs="Helvetica"/>
          <w:color w:val="202124"/>
          <w:sz w:val="24"/>
          <w:szCs w:val="24"/>
        </w:rPr>
        <w:t xml:space="preserve"> und andererseits ihr eigenes Verhalten in ökologischer Hinsicht zu hinterfragen</w:t>
      </w:r>
      <w:r w:rsidR="00D57D1D" w:rsidRPr="007A0F36">
        <w:rPr>
          <w:rFonts w:cs="Helvetica"/>
          <w:color w:val="202124"/>
          <w:sz w:val="24"/>
          <w:szCs w:val="24"/>
        </w:rPr>
        <w:t>.</w:t>
      </w:r>
    </w:p>
    <w:p w:rsidR="005815C4" w:rsidRPr="007A0F36" w:rsidRDefault="005815C4" w:rsidP="00CA3B4A">
      <w:pPr>
        <w:spacing w:after="160" w:line="259" w:lineRule="auto"/>
        <w:rPr>
          <w:rFonts w:cs="Helvetica"/>
          <w:color w:val="202124"/>
          <w:sz w:val="24"/>
          <w:szCs w:val="24"/>
        </w:rPr>
      </w:pPr>
    </w:p>
    <w:sectPr w:rsidR="005815C4" w:rsidRPr="007A0F36" w:rsidSect="00A30E52">
      <w:headerReference w:type="default" r:id="rId12"/>
      <w:footerReference w:type="default" r:id="rId13"/>
      <w:pgSz w:w="11906" w:h="16838"/>
      <w:pgMar w:top="1417" w:right="1417" w:bottom="1134" w:left="1417"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D9" w:rsidRDefault="003C74D9" w:rsidP="00466533">
      <w:pPr>
        <w:spacing w:after="0" w:line="240" w:lineRule="auto"/>
      </w:pPr>
      <w:r>
        <w:separator/>
      </w:r>
    </w:p>
  </w:endnote>
  <w:endnote w:type="continuationSeparator" w:id="0">
    <w:p w:rsidR="003C74D9" w:rsidRDefault="003C74D9"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0451"/>
      <w:docPartObj>
        <w:docPartGallery w:val="Page Numbers (Bottom of Page)"/>
        <w:docPartUnique/>
      </w:docPartObj>
    </w:sdtPr>
    <w:sdtEndPr/>
    <w:sdtContent>
      <w:p w:rsidR="006D3A99" w:rsidRDefault="00AA0F39">
        <w:pPr>
          <w:pStyle w:val="Fuzeile"/>
          <w:jc w:val="right"/>
        </w:pPr>
        <w:r>
          <w:fldChar w:fldCharType="begin"/>
        </w:r>
        <w:r>
          <w:instrText>PAGE   \* MERGEFORMAT</w:instrText>
        </w:r>
        <w:r>
          <w:fldChar w:fldCharType="separate"/>
        </w:r>
        <w:r w:rsidR="00564096">
          <w:rPr>
            <w:noProof/>
          </w:rPr>
          <w:t>1</w:t>
        </w:r>
        <w:r>
          <w:rPr>
            <w:noProof/>
          </w:rPr>
          <w:fldChar w:fldCharType="end"/>
        </w:r>
      </w:p>
    </w:sdtContent>
  </w:sdt>
  <w:p w:rsidR="006D3A99" w:rsidRDefault="006D3A9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D9" w:rsidRDefault="003C74D9" w:rsidP="00466533">
      <w:pPr>
        <w:spacing w:after="0" w:line="240" w:lineRule="auto"/>
      </w:pPr>
      <w:r>
        <w:separator/>
      </w:r>
    </w:p>
  </w:footnote>
  <w:footnote w:type="continuationSeparator" w:id="0">
    <w:p w:rsidR="003C74D9" w:rsidRDefault="003C74D9"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6D3A99" w:rsidTr="0034207C">
      <w:trPr>
        <w:cantSplit/>
        <w:trHeight w:val="372"/>
        <w:tblHeader/>
      </w:trPr>
      <w:tc>
        <w:tcPr>
          <w:tcW w:w="765" w:type="dxa"/>
          <w:shd w:val="clear" w:color="auto" w:fill="808080" w:themeFill="background1" w:themeFillShade="80"/>
        </w:tcPr>
        <w:p w:rsidR="006D3A99" w:rsidRDefault="006D3A99" w:rsidP="00466533">
          <w:pPr>
            <w:pStyle w:val="Kopfzeile"/>
          </w:pPr>
          <w:r>
            <w:rPr>
              <w:rFonts w:cs="Arial"/>
              <w:noProof/>
              <w:color w:val="FFFFFF"/>
              <w:sz w:val="20"/>
              <w:lang w:eastAsia="de-DE"/>
            </w:rPr>
            <w:drawing>
              <wp:inline distT="0" distB="0" distL="0" distR="0" wp14:anchorId="3B326C48" wp14:editId="1870CC38">
                <wp:extent cx="381635" cy="135255"/>
                <wp:effectExtent l="0" t="0" r="0" b="0"/>
                <wp:docPr id="7"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BEF3638867AB48A99BAFAF6A63BFD460"/>
          </w:placeholder>
        </w:sdtPr>
        <w:sdtEndPr/>
        <w:sdtContent>
          <w:tc>
            <w:tcPr>
              <w:tcW w:w="4538" w:type="dxa"/>
              <w:gridSpan w:val="3"/>
              <w:shd w:val="clear" w:color="auto" w:fill="808080" w:themeFill="background1" w:themeFillShade="80"/>
              <w:vAlign w:val="center"/>
            </w:tcPr>
            <w:p w:rsidR="006D3A99" w:rsidRPr="00D93FF2" w:rsidRDefault="006D3A99"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BEF3638867AB48A99BAFAF6A63BFD460"/>
          </w:placeholder>
        </w:sdtPr>
        <w:sdtEndPr/>
        <w:sdtContent>
          <w:tc>
            <w:tcPr>
              <w:tcW w:w="4267" w:type="dxa"/>
              <w:shd w:val="clear" w:color="auto" w:fill="808080" w:themeFill="background1" w:themeFillShade="80"/>
              <w:vAlign w:val="center"/>
            </w:tcPr>
            <w:p w:rsidR="006D3A99" w:rsidRDefault="006D3A99" w:rsidP="002D35F5">
              <w:pPr>
                <w:pStyle w:val="Kopfzeile"/>
                <w:jc w:val="right"/>
              </w:pPr>
              <w:r>
                <w:rPr>
                  <w:rFonts w:cstheme="minorHAnsi"/>
                  <w:color w:val="FFFFFF"/>
                </w:rPr>
                <w:t xml:space="preserve"> Chancen und Grenzen digitaler Medien  </w:t>
              </w:r>
            </w:p>
          </w:tc>
        </w:sdtContent>
      </w:sdt>
    </w:tr>
    <w:tr w:rsidR="006D3A99" w:rsidTr="0034207C">
      <w:trPr>
        <w:cantSplit/>
        <w:trHeight w:val="367"/>
        <w:tblHeader/>
      </w:trPr>
      <w:tc>
        <w:tcPr>
          <w:tcW w:w="3637" w:type="dxa"/>
          <w:gridSpan w:val="2"/>
          <w:shd w:val="clear" w:color="auto" w:fill="D9D9D9" w:themeFill="background1" w:themeFillShade="D9"/>
          <w:vAlign w:val="center"/>
        </w:tcPr>
        <w:sdt>
          <w:sdtPr>
            <w:id w:val="-322048598"/>
            <w:placeholder>
              <w:docPart w:val="67D10B0F13C4498A960EAD78096B14E5"/>
            </w:placeholder>
            <w:text/>
          </w:sdtPr>
          <w:sdtEndPr/>
          <w:sdtContent>
            <w:p w:rsidR="006D3A99" w:rsidRDefault="006D3A99" w:rsidP="00A36186">
              <w:r>
                <w:t>Sprechen und Zuhören</w:t>
              </w:r>
            </w:p>
          </w:sdtContent>
        </w:sdt>
      </w:tc>
      <w:tc>
        <w:tcPr>
          <w:tcW w:w="574" w:type="dxa"/>
          <w:shd w:val="clear" w:color="auto" w:fill="D9D9D9" w:themeFill="background1" w:themeFillShade="D9"/>
          <w:vAlign w:val="center"/>
        </w:tcPr>
        <w:p w:rsidR="006D3A99" w:rsidRDefault="006D3A99" w:rsidP="00466533">
          <w:pPr>
            <w:pStyle w:val="Kopfzeile"/>
          </w:pPr>
        </w:p>
      </w:tc>
      <w:tc>
        <w:tcPr>
          <w:tcW w:w="5360" w:type="dxa"/>
          <w:gridSpan w:val="2"/>
          <w:shd w:val="clear" w:color="auto" w:fill="D9D9D9" w:themeFill="background1" w:themeFillShade="D9"/>
          <w:vAlign w:val="center"/>
        </w:tcPr>
        <w:p w:rsidR="006D3A99" w:rsidRDefault="007465ED" w:rsidP="003E2A61">
          <w:pPr>
            <w:pStyle w:val="Kopfzeile"/>
            <w:jc w:val="right"/>
          </w:pPr>
          <w:r>
            <w:t>Standpunkte aufnehmen</w:t>
          </w:r>
          <w:r w:rsidR="006D3A99">
            <w:t xml:space="preserve"> und erfolgreich argumentieren </w:t>
          </w:r>
        </w:p>
        <w:p w:rsidR="006D3A99" w:rsidRDefault="006D3A99" w:rsidP="003E2A61">
          <w:pPr>
            <w:pStyle w:val="Kopfzeile"/>
            <w:jc w:val="right"/>
          </w:pPr>
          <w:r>
            <w:t>Hinweisblatt für Lehrkräfte</w:t>
          </w:r>
        </w:p>
      </w:tc>
    </w:tr>
  </w:tbl>
  <w:p w:rsidR="006D3A99" w:rsidRDefault="006D3A99">
    <w:pPr>
      <w:pStyle w:val="Kopfzeile"/>
    </w:pPr>
  </w:p>
  <w:p w:rsidR="006D3A99" w:rsidRDefault="006D3A9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9472C"/>
    <w:multiLevelType w:val="hybridMultilevel"/>
    <w:tmpl w:val="6C186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F51EA"/>
    <w:multiLevelType w:val="hybridMultilevel"/>
    <w:tmpl w:val="17EC08FC"/>
    <w:lvl w:ilvl="0" w:tplc="F76E03DA">
      <w:start w:val="2"/>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0"/>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3372CA"/>
    <w:rsid w:val="0004626F"/>
    <w:rsid w:val="000E0713"/>
    <w:rsid w:val="000F4517"/>
    <w:rsid w:val="00106567"/>
    <w:rsid w:val="00121068"/>
    <w:rsid w:val="00135097"/>
    <w:rsid w:val="001A5F4D"/>
    <w:rsid w:val="001C22D1"/>
    <w:rsid w:val="0023673A"/>
    <w:rsid w:val="002827C8"/>
    <w:rsid w:val="002D35F5"/>
    <w:rsid w:val="002E7ADE"/>
    <w:rsid w:val="003372CA"/>
    <w:rsid w:val="0034207C"/>
    <w:rsid w:val="0038077A"/>
    <w:rsid w:val="003A5C46"/>
    <w:rsid w:val="003C74D9"/>
    <w:rsid w:val="003E2A61"/>
    <w:rsid w:val="003E4700"/>
    <w:rsid w:val="00400033"/>
    <w:rsid w:val="00402F60"/>
    <w:rsid w:val="004213CA"/>
    <w:rsid w:val="00422E0D"/>
    <w:rsid w:val="00466533"/>
    <w:rsid w:val="00493D72"/>
    <w:rsid w:val="004B2C13"/>
    <w:rsid w:val="004B7E53"/>
    <w:rsid w:val="004C330D"/>
    <w:rsid w:val="004C372D"/>
    <w:rsid w:val="004C4FB9"/>
    <w:rsid w:val="004D6094"/>
    <w:rsid w:val="004D6706"/>
    <w:rsid w:val="00510F36"/>
    <w:rsid w:val="00564096"/>
    <w:rsid w:val="005815C4"/>
    <w:rsid w:val="00596248"/>
    <w:rsid w:val="005C77EF"/>
    <w:rsid w:val="005E4045"/>
    <w:rsid w:val="00634D2A"/>
    <w:rsid w:val="0066603C"/>
    <w:rsid w:val="006A7B3D"/>
    <w:rsid w:val="006D2746"/>
    <w:rsid w:val="006D3A99"/>
    <w:rsid w:val="006F7588"/>
    <w:rsid w:val="00713F30"/>
    <w:rsid w:val="007465ED"/>
    <w:rsid w:val="007A0F36"/>
    <w:rsid w:val="00804260"/>
    <w:rsid w:val="00832FBF"/>
    <w:rsid w:val="00833FEF"/>
    <w:rsid w:val="00851C01"/>
    <w:rsid w:val="00860FE6"/>
    <w:rsid w:val="00862419"/>
    <w:rsid w:val="008A2C9F"/>
    <w:rsid w:val="008A5426"/>
    <w:rsid w:val="008A7D20"/>
    <w:rsid w:val="009456A5"/>
    <w:rsid w:val="0096426A"/>
    <w:rsid w:val="009737B1"/>
    <w:rsid w:val="009A0147"/>
    <w:rsid w:val="009B0863"/>
    <w:rsid w:val="009B34A1"/>
    <w:rsid w:val="009D6269"/>
    <w:rsid w:val="009E7E6B"/>
    <w:rsid w:val="00A11331"/>
    <w:rsid w:val="00A245AD"/>
    <w:rsid w:val="00A30E52"/>
    <w:rsid w:val="00A31D8F"/>
    <w:rsid w:val="00A36186"/>
    <w:rsid w:val="00A429BF"/>
    <w:rsid w:val="00A459D4"/>
    <w:rsid w:val="00A45B3B"/>
    <w:rsid w:val="00AA0F39"/>
    <w:rsid w:val="00AB060C"/>
    <w:rsid w:val="00AC4560"/>
    <w:rsid w:val="00AF1CED"/>
    <w:rsid w:val="00B906F3"/>
    <w:rsid w:val="00BA6DC2"/>
    <w:rsid w:val="00BB2B71"/>
    <w:rsid w:val="00BE51DD"/>
    <w:rsid w:val="00BF5E03"/>
    <w:rsid w:val="00C0033D"/>
    <w:rsid w:val="00C22170"/>
    <w:rsid w:val="00C22F20"/>
    <w:rsid w:val="00C66448"/>
    <w:rsid w:val="00CA3B4A"/>
    <w:rsid w:val="00CB42B0"/>
    <w:rsid w:val="00CE3CDB"/>
    <w:rsid w:val="00CF3EE1"/>
    <w:rsid w:val="00D146DD"/>
    <w:rsid w:val="00D1515A"/>
    <w:rsid w:val="00D2209D"/>
    <w:rsid w:val="00D57D1D"/>
    <w:rsid w:val="00D629E5"/>
    <w:rsid w:val="00D63F87"/>
    <w:rsid w:val="00D80CF5"/>
    <w:rsid w:val="00DC6835"/>
    <w:rsid w:val="00DD24F5"/>
    <w:rsid w:val="00DF414C"/>
    <w:rsid w:val="00E16DED"/>
    <w:rsid w:val="00E47A3A"/>
    <w:rsid w:val="00E943C6"/>
    <w:rsid w:val="00EB14CA"/>
    <w:rsid w:val="00EB69C5"/>
    <w:rsid w:val="00ED230E"/>
    <w:rsid w:val="00F664F4"/>
    <w:rsid w:val="00F67A2F"/>
    <w:rsid w:val="00FF53F6"/>
    <w:rsid w:val="00FF6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9C07D5"/>
  <w15:docId w15:val="{0A5A354F-9658-45EF-A07E-C7F881B9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E5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ethe.de/lhr/prj/fab/wer/de12801146.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oethe.de/pro/filmab/werbefilme/Greenpeace_Hinweise_fuer_Lehrende.pdf" TargetMode="External"/><Relationship Id="rId4" Type="http://schemas.openxmlformats.org/officeDocument/2006/relationships/settings" Target="settings.xml"/><Relationship Id="rId9" Type="http://schemas.openxmlformats.org/officeDocument/2006/relationships/hyperlink" Target="https://www.youtube.com/watch?v=VBPvqSnRaQ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71CEF"/>
    <w:rsid w:val="001323BD"/>
    <w:rsid w:val="00135DEC"/>
    <w:rsid w:val="0014359B"/>
    <w:rsid w:val="001E45A1"/>
    <w:rsid w:val="002D3849"/>
    <w:rsid w:val="0060304E"/>
    <w:rsid w:val="00651A30"/>
    <w:rsid w:val="006541F8"/>
    <w:rsid w:val="008B5330"/>
    <w:rsid w:val="009227AB"/>
    <w:rsid w:val="00A945B9"/>
    <w:rsid w:val="00AA5FF0"/>
    <w:rsid w:val="00AC6006"/>
    <w:rsid w:val="00D1384E"/>
    <w:rsid w:val="00D2413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8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60E1-030E-4A65-9ED1-4949F813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4C3AD47F</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Klein Tajana</cp:lastModifiedBy>
  <cp:revision>13</cp:revision>
  <cp:lastPrinted>2019-01-17T08:42:00Z</cp:lastPrinted>
  <dcterms:created xsi:type="dcterms:W3CDTF">2019-07-17T09:09:00Z</dcterms:created>
  <dcterms:modified xsi:type="dcterms:W3CDTF">2019-07-23T16:09:00Z</dcterms:modified>
</cp:coreProperties>
</file>