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1C3D" w14:textId="3377B78A" w:rsidR="002174CC" w:rsidRPr="002174CC" w:rsidRDefault="002174CC" w:rsidP="002174CC">
      <w:pPr>
        <w:pStyle w:val="Titel"/>
        <w:rPr>
          <w:b w:val="0"/>
          <w:bCs/>
        </w:rPr>
      </w:pPr>
      <w:bookmarkStart w:id="0" w:name="_Toc198223504"/>
      <w:r>
        <w:t>Mirjam Pressler</w:t>
      </w:r>
      <w:r>
        <w:tab/>
      </w:r>
      <w:r w:rsidR="00774778">
        <w:tab/>
      </w:r>
      <w:r>
        <w:rPr>
          <w:b w:val="0"/>
          <w:bCs/>
        </w:rPr>
        <w:t>Dunkles Gold (2019)</w:t>
      </w:r>
    </w:p>
    <w:bookmarkEnd w:id="0"/>
    <w:p w14:paraId="4B48E401" w14:textId="15E6E09F" w:rsidR="002174CC" w:rsidRPr="008732E0" w:rsidRDefault="002174CC" w:rsidP="002174CC">
      <w:pPr>
        <w:rPr>
          <w:b/>
          <w:bCs/>
        </w:rPr>
      </w:pPr>
      <w:r w:rsidRPr="008732E0">
        <w:rPr>
          <w:b/>
          <w:bCs/>
        </w:rPr>
        <w:t>Empfehlung für Klassenstufe 8</w:t>
      </w:r>
      <w:r w:rsidR="008732E0">
        <w:rPr>
          <w:b/>
          <w:bCs/>
        </w:rPr>
        <w:t>-</w:t>
      </w:r>
      <w:r w:rsidRPr="008732E0">
        <w:rPr>
          <w:b/>
          <w:bCs/>
        </w:rPr>
        <w:t>9</w:t>
      </w:r>
    </w:p>
    <w:p w14:paraId="037B237E" w14:textId="3C0B5337" w:rsidR="006F2915" w:rsidRDefault="006F2915" w:rsidP="002174CC">
      <w:r w:rsidRPr="006F2915">
        <w:rPr>
          <w:noProof/>
          <w:lang w:eastAsia="de-DE"/>
        </w:rPr>
        <w:drawing>
          <wp:inline distT="0" distB="0" distL="0" distR="0" wp14:anchorId="4014F30A" wp14:editId="180C9E9E">
            <wp:extent cx="2381250" cy="1581150"/>
            <wp:effectExtent l="0" t="0" r="0" b="0"/>
            <wp:docPr id="1165827655" name="Grafik 1" descr="Ein Porträtfoto der Autorin Mirjam Pressler aus dem Jahr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27655" name="Grafik 1" descr="Ein Porträtfoto der Autorin Mirjam Pressler aus dem Jahr 20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581150"/>
                    </a:xfrm>
                    <a:prstGeom prst="rect">
                      <a:avLst/>
                    </a:prstGeom>
                    <a:noFill/>
                    <a:ln>
                      <a:noFill/>
                    </a:ln>
                  </pic:spPr>
                </pic:pic>
              </a:graphicData>
            </a:graphic>
          </wp:inline>
        </w:drawing>
      </w:r>
    </w:p>
    <w:p w14:paraId="4292C2A8" w14:textId="236540CF" w:rsidR="006F2915" w:rsidRDefault="006F2915" w:rsidP="006F2915">
      <w:pPr>
        <w:pStyle w:val="Abbildungsindexlinlsbndig"/>
      </w:pPr>
      <w:r>
        <w:t xml:space="preserve">Abb. 1: Mirjam Pressler bei einer Lesung im Berliner Anne-Frank-Zentrum 2012. Von </w:t>
      </w:r>
      <w:hyperlink r:id="rId9" w:history="1">
        <w:r w:rsidRPr="009F0391">
          <w:rPr>
            <w:rStyle w:val="Hyperlink"/>
          </w:rPr>
          <w:t>Scott-Hendryk Dillan</w:t>
        </w:r>
      </w:hyperlink>
      <w:r>
        <w:t xml:space="preserve"> (eigenes Werk) [</w:t>
      </w:r>
      <w:hyperlink r:id="rId10" w:history="1">
        <w:r w:rsidR="009F0391" w:rsidRPr="009F0391">
          <w:rPr>
            <w:rStyle w:val="Hyperlink"/>
          </w:rPr>
          <w:t>CC BY-SA 3.0</w:t>
        </w:r>
      </w:hyperlink>
      <w:r w:rsidR="00CE624A">
        <w:t xml:space="preserve">] via </w:t>
      </w:r>
      <w:hyperlink r:id="rId11" w:anchor="filelinks" w:history="1">
        <w:r w:rsidR="00CE624A" w:rsidRPr="00CE624A">
          <w:rPr>
            <w:rStyle w:val="Hyperlink"/>
          </w:rPr>
          <w:t>Wikimedia</w:t>
        </w:r>
      </w:hyperlink>
    </w:p>
    <w:p w14:paraId="7111ADEA" w14:textId="272B82E2" w:rsidR="00160CAC" w:rsidRDefault="002174CC" w:rsidP="00160CAC">
      <w:pPr>
        <w:pStyle w:val="berschrift1"/>
      </w:pPr>
      <w:r>
        <w:t>Kurzinformation</w:t>
      </w:r>
    </w:p>
    <w:p w14:paraId="745F370D" w14:textId="5BD8A672" w:rsidR="00DD66A8" w:rsidRDefault="00A87204" w:rsidP="002174CC">
      <w:r>
        <w:t xml:space="preserve">„Dunkles Gold“ thematisiert jüdisches Leben in Deutschland, dies aber auf eine Weise, wie es bisher nicht verfügbar war, besonders nicht im Jugendbuch. Im Zentrum steht einmal nicht das Dritte Reich, </w:t>
      </w:r>
      <w:r w:rsidR="0009513B">
        <w:t>sondern zum einen die Judenverfolgung während der Pestpogrome im 14. Jahrhundert</w:t>
      </w:r>
      <w:r>
        <w:t xml:space="preserve"> und</w:t>
      </w:r>
      <w:r w:rsidR="0009513B">
        <w:t xml:space="preserve"> zum anderen</w:t>
      </w:r>
      <w:r>
        <w:t xml:space="preserve"> </w:t>
      </w:r>
      <w:r w:rsidR="00DC5FB0">
        <w:t>jüdisches Leben im Deutschland der</w:t>
      </w:r>
      <w:r>
        <w:t xml:space="preserve"> Gegenwart. </w:t>
      </w:r>
      <w:r w:rsidR="009F0391" w:rsidRPr="009F0391">
        <w:t>Laura, die Protagonistin des Romans, lebt im Erfurt der jüngsten Vergangenheit (</w:t>
      </w:r>
      <w:r w:rsidR="00DD66A8">
        <w:t>etwa</w:t>
      </w:r>
      <w:r w:rsidR="009F0391" w:rsidRPr="009F0391">
        <w:t xml:space="preserve"> 2017). Sie ist Schülerin, 15 Jahre alt</w:t>
      </w:r>
      <w:r w:rsidR="009F0391">
        <w:t>,</w:t>
      </w:r>
      <w:r w:rsidR="009F0391" w:rsidRPr="009F0391">
        <w:t xml:space="preserve"> und mit Schule und Adoleszenz beschäftigt. Besonders </w:t>
      </w:r>
      <w:r w:rsidR="00DD66A8">
        <w:t xml:space="preserve">ist </w:t>
      </w:r>
      <w:r w:rsidR="009F0391" w:rsidRPr="009F0391">
        <w:t xml:space="preserve">ihr Interesse an einem jüdischen Schatz, der </w:t>
      </w:r>
      <w:r w:rsidR="00DA527E">
        <w:t xml:space="preserve">– das entspricht der Realität </w:t>
      </w:r>
      <w:r w:rsidR="00880A5B">
        <w:t>–</w:t>
      </w:r>
      <w:r w:rsidR="00DA527E">
        <w:t xml:space="preserve"> </w:t>
      </w:r>
      <w:r w:rsidR="009F0391" w:rsidRPr="009F0391">
        <w:t xml:space="preserve">bei Bauarbeiten in Erfurt entdeckt </w:t>
      </w:r>
      <w:r w:rsidR="00DA527E">
        <w:t>worden ist</w:t>
      </w:r>
      <w:r w:rsidR="009F0391" w:rsidRPr="009F0391">
        <w:t xml:space="preserve"> und jetzt, unter anderem von Lauras Mutter, erforscht wird. Besonders ist auch ihre Leidenschaft für das Zeichnen und ihre Begeisterung für das Verfassen von Graphic Novels. Die Geschichte von Lauras Annäherung an den Schatz und an den jüdischen Mitschüler Alexej ist inhaltlicher Kern des Romans. </w:t>
      </w:r>
    </w:p>
    <w:p w14:paraId="3C2FB724" w14:textId="77777777" w:rsidR="00DD66A8" w:rsidRDefault="009F0391" w:rsidP="002174CC">
      <w:r w:rsidRPr="009F0391">
        <w:t xml:space="preserve">Lauras Geschichte in der Gegenwart wird flankiert durch die von ihr imaginierte Geschichte einer gleichaltrigen Jüdin, Rachel, die mit ihrer Familie im Jahr 1349 aus Erfurt flieht, um Pogromen und der nahenden Pest zu entkommen. So hat </w:t>
      </w:r>
      <w:r w:rsidR="00DD66A8">
        <w:t>„</w:t>
      </w:r>
      <w:r w:rsidRPr="009F0391">
        <w:t>Dunkles Gold</w:t>
      </w:r>
      <w:r w:rsidR="00DD66A8">
        <w:t>“</w:t>
      </w:r>
      <w:r w:rsidRPr="009F0391">
        <w:t xml:space="preserve"> gewissermaßen zwei Protagonistinnen, die in abwechselnden Kapiteln einen wichtigen Abschnitt ihrer Adoleszenz erleben und erzählen. Die Geschichten sind auch dadurch eng miteinander verbunden, dass die eine Protagonistin (Laura) die andere (Rachel) aus ihren historischen Kenntnissen, aber auch in Anlehnung an ihre eigenen Gefühle und Wünsche erschafft. </w:t>
      </w:r>
    </w:p>
    <w:p w14:paraId="50DFFBCB" w14:textId="77777777" w:rsidR="008D5B6D" w:rsidRDefault="009F0391" w:rsidP="002174CC">
      <w:r w:rsidRPr="009F0391">
        <w:lastRenderedPageBreak/>
        <w:t>Es gelingt Mirjam Pressler</w:t>
      </w:r>
      <w:r w:rsidR="00A87204">
        <w:t xml:space="preserve"> (1940-2019)</w:t>
      </w:r>
      <w:r w:rsidR="00555841">
        <w:t>,</w:t>
      </w:r>
      <w:r w:rsidRPr="009F0391">
        <w:t xml:space="preserve"> die Menschen um Rachel nicht zu einer modernen Gesellschaft in mittelalterlichen Kostümen werden zu lassen, sondern, freilich mit Einschränkungen, zu Trägern mittelalterlichen Denkens, was angesichts der Nähe der Protagonistinnen zueinander besonders bemerkenswert ist. </w:t>
      </w:r>
      <w:r w:rsidR="00CB26EF">
        <w:t xml:space="preserve">Hervorzuheben ist auch, dass auf beiden Zeitebenen vor allem Frauen handlungstreibend sind. </w:t>
      </w:r>
    </w:p>
    <w:p w14:paraId="732C554A" w14:textId="15F0C5C6" w:rsidR="002174CC" w:rsidRPr="002174CC" w:rsidRDefault="00CB26EF" w:rsidP="002174CC">
      <w:r>
        <w:t>Der</w:t>
      </w:r>
      <w:r w:rsidRPr="009F0391">
        <w:t xml:space="preserve"> </w:t>
      </w:r>
      <w:r w:rsidR="009F0391" w:rsidRPr="009F0391">
        <w:t>besondere Wert des Romans liegt</w:t>
      </w:r>
      <w:r>
        <w:t xml:space="preserve"> </w:t>
      </w:r>
      <w:r w:rsidR="009F0391" w:rsidRPr="009F0391">
        <w:t>in der geschickten Verbindung von Gegenwart und Geschichte, nicht zu einem Kontinuum, wohl aber zu einem Gegenüber im Sinne von Barbara Tuchmans „fernem Spiegel“</w:t>
      </w:r>
      <w:r>
        <w:t>.</w:t>
      </w:r>
      <w:r w:rsidR="00A87204">
        <w:t xml:space="preserve"> </w:t>
      </w:r>
      <w:r w:rsidR="00555841">
        <w:t>Mirjam Pressler</w:t>
      </w:r>
      <w:r w:rsidR="00A87204">
        <w:t xml:space="preserve"> versteht den Blick auf das Mittelalter als Möglichkeit, die Gegenwart besser zu verstehen.</w:t>
      </w:r>
    </w:p>
    <w:p w14:paraId="20CCD3BD" w14:textId="41CF3267" w:rsidR="00160CAC" w:rsidRDefault="00DD66A8" w:rsidP="00160CAC">
      <w:pPr>
        <w:pStyle w:val="berschrift1"/>
      </w:pPr>
      <w:r>
        <w:t>Inhalt</w:t>
      </w:r>
    </w:p>
    <w:p w14:paraId="27742B50" w14:textId="6C962F3E" w:rsidR="00DD66A8" w:rsidRDefault="00DD66A8" w:rsidP="00DD66A8">
      <w:r>
        <w:t xml:space="preserve">Der Roman </w:t>
      </w:r>
      <w:r w:rsidR="00CB26EF">
        <w:t>„</w:t>
      </w:r>
      <w:r>
        <w:t>Dunkles Gold</w:t>
      </w:r>
      <w:r w:rsidR="00CB26EF">
        <w:t>“</w:t>
      </w:r>
      <w:r>
        <w:t xml:space="preserve"> verfügt über zwei zeitlich voneinander getrennte Handlungsebenen. Sie werden im Folgenden getrennt voneinander abgehandelt.</w:t>
      </w:r>
    </w:p>
    <w:p w14:paraId="79B48400" w14:textId="6AC7318E" w:rsidR="00160CAC" w:rsidRDefault="00DD66A8" w:rsidP="00DD66A8">
      <w:r>
        <w:t xml:space="preserve">Die erste Handlung spielt im Jahr 2017. Laura ist eine fünfzehnjährige Schülerin in Erfurt. Sie lebt mit ihrer Mutter, einer Historikerin, und dem Hund Herr Schneider zusammen. </w:t>
      </w:r>
      <w:r w:rsidR="008D5B6D">
        <w:t>E</w:t>
      </w:r>
      <w:r>
        <w:t xml:space="preserve">rzählend und gestaltend </w:t>
      </w:r>
      <w:r w:rsidR="008D5B6D">
        <w:t xml:space="preserve">beginnt sie, sich </w:t>
      </w:r>
      <w:r>
        <w:t xml:space="preserve">mit der Geschichte der Juden in Erfurt </w:t>
      </w:r>
      <w:r w:rsidR="008D5B6D">
        <w:t>auseinanderzusetzen</w:t>
      </w:r>
      <w:r>
        <w:t xml:space="preserve">. Um einen Schatzfund </w:t>
      </w:r>
      <w:r w:rsidR="001C4DBA">
        <w:t xml:space="preserve">in </w:t>
      </w:r>
      <w:r>
        <w:t xml:space="preserve">Erfurt herum, mit dem sich ihre Mutter schon seit Jahren beschäftigt, entwickelt sie die Geschichte eines jüdischen Mädchens, das im Jahr 1349 zusammen mit Vater und Bruder die Stadt verlässt, um der Pest und </w:t>
      </w:r>
      <w:r w:rsidR="00CB26EF">
        <w:t xml:space="preserve">einem </w:t>
      </w:r>
      <w:r>
        <w:t xml:space="preserve">drohenden </w:t>
      </w:r>
      <w:r w:rsidR="001C4DBA">
        <w:t xml:space="preserve">Pogrom </w:t>
      </w:r>
      <w:r>
        <w:t>zu entkommen. Diese Geschichte beschließt sie in einer Graphic Novel festzuhalten. Gleichzeitig kommt Tamara, eine Studienfreundin der Mutter, zu Besuch. Tamara hat mit der Kernhandlung nur wenig zu tun, ist aber für Laura eine wichtige und bewunderte Orientierungsfigur. Die Gestaltung der Schatzgeschichte konfrontiert Laura mit ihren lückenhaften Kenntnissen, was das Judentum betrifft. Sie beschließt, den jüdischen Mitschüler Alexej kennenzulernen. Es beginnt eine Annäherung an gegenwärtiges jüdisches Leben und eine Liebesgeschichte, die unter anderem zu einer Annäherung der beiden Familien führt. Die Laura-Handlung mündet in ein explizit offenes Ende. Wie es mit ihr und Alexej weitergehen wird, bleibt ungewiss. Die Geschichte ist im Kleinen wie im Großen nicht abgeschlossen.</w:t>
      </w:r>
    </w:p>
    <w:p w14:paraId="638FFA30" w14:textId="57E99B26" w:rsidR="00DA527E" w:rsidRDefault="00DA527E" w:rsidP="00DD66A8">
      <w:r w:rsidRPr="00DA527E">
        <w:t xml:space="preserve">Die Rachel-Handlung beginnt 1349, ebenfalls in Erfurt, im Haus des jüdischen Kaufmanns Kalman. Dieser lebt mit seinen Kindern Rachel und Joschua und seinen Bediensteten in Frieden mit seinen christlichen Nachbarn. Als ihn die Nachricht erreicht, dass sich eine Pestepidemie nähert, beschließt er aus Furcht vor Anfeindungen und Pogromen, sein Vermögen im Keller des Hauses zu vergraben und mit der Familie nach Krakau zu fliehen. Das verborgene Vermögen wird später zu dem Schatzfund von Erfurt werden. Auf der Flucht </w:t>
      </w:r>
      <w:r w:rsidRPr="00DA527E">
        <w:lastRenderedPageBreak/>
        <w:t>stirbt der Vater, die Kinder müssen sich alleine weiter durchschlagen. Joschua zieht mit einem Gaukler weiter, Rachel wird von einem jungen Juden vor dem Ertrinken gerettet, den sie am Ende der Rachel-Handlung heiratet. Auch dieser Handlungsschluss bleibt offen, man erfährt allerdings, dass Rachel den Schatz ruhen lassen will.</w:t>
      </w:r>
    </w:p>
    <w:p w14:paraId="43656141" w14:textId="15AE083A" w:rsidR="00D44576" w:rsidRDefault="00DD66A8" w:rsidP="00DD66A8">
      <w:pPr>
        <w:pStyle w:val="berschrift1"/>
      </w:pPr>
      <w:bookmarkStart w:id="1" w:name="_Hlk198225804"/>
      <w:r>
        <w:t>Literaturwissenschaftliche Einordnung und Deutungsperspektiven</w:t>
      </w:r>
      <w:r w:rsidR="00D44576">
        <w:t xml:space="preserve"> </w:t>
      </w:r>
      <w:bookmarkEnd w:id="1"/>
    </w:p>
    <w:p w14:paraId="3CEB8254" w14:textId="33F49140" w:rsidR="00DA527E" w:rsidRDefault="00E00C1E" w:rsidP="00DA527E">
      <w:r>
        <w:t>„</w:t>
      </w:r>
      <w:r w:rsidR="00DA527E">
        <w:t>Dunkles Gold</w:t>
      </w:r>
      <w:r>
        <w:t>“</w:t>
      </w:r>
      <w:r w:rsidR="00DA527E">
        <w:t xml:space="preserve"> ist Mirjam Presslers letztes Werk und erschien 2019 postum. Kinder und Jugendliche in schwierigen Lebenssituationen bevölkern die meisten ihrer Romane, einfache Lösungen für Probleme finden sich kaum. Immer wieder ist auch der Holocaust Thema, entweder zentral oder im Hintergrund. Allerdings liegt, so auch in „Dunkles Gold“, der Fokus eher auf dem Bestehen schwieriger Situationen als auf der Beschreibung von Katastrophen und menschlichem Leid. Dies kann in einem Roman gelingen, der den Holocaust nicht ausführlich, sondern nur als historische Folie der Gegenwartshandlung zum Thema macht. Verharmlost wird in „Dunkles Gold“ aber nicht, weder explizit, noch in der erzeugten Atmosphäre.</w:t>
      </w:r>
    </w:p>
    <w:p w14:paraId="31F3AF87" w14:textId="4C518467" w:rsidR="00DA527E" w:rsidRDefault="00DA527E" w:rsidP="00DA527E">
      <w:r>
        <w:t xml:space="preserve">„Dunkles Gold“ kann als historischer Roman, aber auch als Adoleszenzroman gelesen werden. Vor allem aber ist ein formaler Aspekt von Bedeutung, die Aufteilung in zwei Zeitebenen, die kapitelweise ineinander verschränkt sind. In dieser Struktur drückt sich eine Grundidee des Romans aus: die ständige untergründige Präsenz der historischen Vergangenheit in der erlebten Gegenwart. In dem Maße, in dem Laura sich dem Mittelalter gedanklich annähert, entsteht in Rachel ein persönliches Gegenüber, das der Protagonistin verwandt, aber nicht gleich ist. </w:t>
      </w:r>
    </w:p>
    <w:p w14:paraId="6CA18DCE" w14:textId="32233792" w:rsidR="00DA527E" w:rsidRDefault="00DA527E" w:rsidP="00DA527E">
      <w:r>
        <w:t>Die Erzählweise zeigt sich traditionell. Beide Ebenen werden stringent und chronologisch geordnet fortgeführt, bestimmt von zwei Ich-Erzählerinnen. Gleichzeitig zeigen sie sich inhaltlich verwandt. Die Mädchen ähneln einander sehr in ihrer Persönlichkeit und ihrem Blick auf die Welt</w:t>
      </w:r>
      <w:r w:rsidR="00E00C1E">
        <w:t>; eine aus den unterschiedlichen historischen Situationen herrührende perspektivische Unterscheidung ergibt sich kaum</w:t>
      </w:r>
      <w:r>
        <w:t xml:space="preserve"> Dies wirkt allerdings nicht wie ein gestalterischer Fehler im Sinne des häufig anzutreffenden Fehlers: historische Umstände, </w:t>
      </w:r>
      <w:r w:rsidR="00E55AD5">
        <w:t xml:space="preserve">aber </w:t>
      </w:r>
      <w:r>
        <w:t>modernes Denken. Eher entsteht der Eindruck einer emotionalen Nähe über große Zeiträume hinweg. Weder kulturelle (Laura und Alexej), noch historische (Laura und Rachel) Klüfte erscheinen unüberbrückbar, in der offensichtlichen Verwandtschaft der beiden Mädchen äußert sich möglicherweise Presslers Lebenshoffnung auf grundsätzliche Versöhnbarkeit in ihrem letzten Roman.</w:t>
      </w:r>
    </w:p>
    <w:p w14:paraId="00CC2457" w14:textId="5C475C78" w:rsidR="00DA527E" w:rsidRPr="00DA527E" w:rsidRDefault="00DA527E" w:rsidP="00DA527E">
      <w:r>
        <w:lastRenderedPageBreak/>
        <w:t xml:space="preserve">„Wer sich nicht der Vergangenheit erinnert, ist dazu verdammt, sie zu wiederholen.“ Dieser viel zitierte Satz des Philosophen Georges Santayana steht als Motto am Beginn von </w:t>
      </w:r>
      <w:r w:rsidR="00E00C1E">
        <w:t>„</w:t>
      </w:r>
      <w:r>
        <w:t>Dunkles Gold</w:t>
      </w:r>
      <w:r w:rsidR="00E00C1E">
        <w:t>“</w:t>
      </w:r>
      <w:r>
        <w:t xml:space="preserve">. Es geht Pressler aber nicht nur um Erinnern, wie gerade ihr letzter Roman deutlich zeigt. Indem Rachel ihr einstweiliges Glück in der Heirat mit einem jungen Juden findet und die Unüberbrückbarkeit der religiösen Kluft noch unantastbar ist, zeigt Lauras Liebesgeschichte in der Jetztzeit die Möglichkeit, ein liebevolles Zusammenleben über ebendiese Grenzen hinweg in selbstverständlicher Alltäglichkeit, die die Geschichte dabei nicht ausblendet, zu leben. </w:t>
      </w:r>
      <w:r w:rsidR="00E00C1E">
        <w:t>„</w:t>
      </w:r>
      <w:r>
        <w:t>Dunkles Gold</w:t>
      </w:r>
      <w:r w:rsidR="00E00C1E">
        <w:t>“</w:t>
      </w:r>
      <w:r>
        <w:t xml:space="preserve"> ist somit ein optimistischer Roman und kann gewissermaßen als ein Vermächtnis Mirjam Presslers gelesen werden.</w:t>
      </w:r>
    </w:p>
    <w:p w14:paraId="1114B485" w14:textId="7EC8EB9E" w:rsidR="00DD66A8" w:rsidRDefault="00DD66A8" w:rsidP="00DD66A8">
      <w:pPr>
        <w:pStyle w:val="berschrift1"/>
      </w:pPr>
      <w:r>
        <w:t>Didaktische Hinweise</w:t>
      </w:r>
    </w:p>
    <w:p w14:paraId="15E5A74D" w14:textId="77777777" w:rsidR="00E55AD5" w:rsidRDefault="00E55AD5" w:rsidP="00E55AD5">
      <w:r>
        <w:t>Mirjam Presslers letztes Werk ist inhaltlich wie strukturell anspruchsvoll und attraktiv. Für den Deutschunterricht ist der Roman in mehrfacher Hinsicht wertvoll. Nachfolgend werden einige Themen und Aspekte angeführt, die sich zur Behandlung im Rahmen einer Unterrichtseinheit eignen.</w:t>
      </w:r>
    </w:p>
    <w:p w14:paraId="264FFA82" w14:textId="6F646CA1" w:rsidR="00E55AD5" w:rsidRDefault="00E55AD5" w:rsidP="00E55AD5">
      <w:r w:rsidRPr="00E55AD5">
        <w:rPr>
          <w:rStyle w:val="BetontFett"/>
        </w:rPr>
        <w:t>Adoleszenz als Prozess</w:t>
      </w:r>
      <w:r>
        <w:t>: Durch die berichteten Ereignisse, aber auch durch die nachvollziehbaren Perspektiven der beiden Protagonistinnen</w:t>
      </w:r>
      <w:r w:rsidR="002F1D5A">
        <w:t>,</w:t>
      </w:r>
      <w:r>
        <w:t xml:space="preserve"> wird Adoleszenz Gegenstand und Medium des Romans. Die Suche nach dem eigenen Ort und der eigenen Ausprägung in einer unübersichtlichen Welt der Gegenwart ist in dem Roman auf diskrete Weise eindrucksvoll und eignet sich sehr für die Thematisierung im Unterricht. Lauras Entwicklung lässt sich gut an der Veränderung </w:t>
      </w:r>
      <w:r w:rsidR="00015074">
        <w:t>der</w:t>
      </w:r>
      <w:r>
        <w:t xml:space="preserve"> Beziehung zur </w:t>
      </w:r>
      <w:r w:rsidR="00015074">
        <w:t xml:space="preserve">ihrer </w:t>
      </w:r>
      <w:r>
        <w:t xml:space="preserve">Mutter ablesen und nachzeichnen. </w:t>
      </w:r>
    </w:p>
    <w:p w14:paraId="654A1648" w14:textId="78C1E65A" w:rsidR="00E55AD5" w:rsidRDefault="00E55AD5" w:rsidP="00E55AD5">
      <w:r w:rsidRPr="00E55AD5">
        <w:rPr>
          <w:rStyle w:val="BetontFett"/>
        </w:rPr>
        <w:t>Junge Liebe</w:t>
      </w:r>
      <w:r>
        <w:t>: „Dunkles Gold“ ist neben allen anderen Aspekten auch eine Liebesgeschichte. Beziehung und Kommunikation sind lohnende Aspekte der Behandlung im Deutschunterricht. Besonders fruchtbar ist die Beschäftigung mit den Schwierigkeiten, die die entstehende Beziehung behindern. Mit Laura und Alexej treffen zwei Kulturen aufeinander, deren Zusammenleben auch historisch durch das behindert wird, was der Roman immer wieder „Fettnäpfchen“ nennt, also nicht der eigentliche Antisemitismus, sondern die durch Unkenntnis und Unsicherheit geförderten Missverständnisse.</w:t>
      </w:r>
    </w:p>
    <w:p w14:paraId="6645A5D1" w14:textId="74056281" w:rsidR="00E55AD5" w:rsidRDefault="00E55AD5" w:rsidP="00E55AD5">
      <w:r>
        <w:t xml:space="preserve">Die </w:t>
      </w:r>
      <w:r w:rsidRPr="00E55AD5">
        <w:rPr>
          <w:rStyle w:val="BetontFett"/>
        </w:rPr>
        <w:t>Graphic Novel als Kunstform</w:t>
      </w:r>
      <w:r>
        <w:t xml:space="preserve"> wird auf eine Weise thematisiert, die es möglich, ja sogar ertragreich macht, literarische und graphische Kunstformen in Bezug auf ihre Ausdrucksmittel und -möglichkeiten zum Thema zu machen. Die Übertragung von Sprachlich-Gedanklichem in Bildliches wird im Roman sorgfältig beschrieben. Diese Beschreibungen können Ausgangspunkt sein für Beschäftigungen mit künstlerischem Medienwechsel, aber auch für eigene graphische Gestaltungen.</w:t>
      </w:r>
    </w:p>
    <w:p w14:paraId="18F71EB7" w14:textId="39AE099D" w:rsidR="00E55AD5" w:rsidRDefault="00E55AD5" w:rsidP="008732E0">
      <w:r>
        <w:lastRenderedPageBreak/>
        <w:t xml:space="preserve">Zentrales gesellschaftliches Thema des Romans ist der moderne </w:t>
      </w:r>
      <w:r w:rsidRPr="008732E0">
        <w:rPr>
          <w:rStyle w:val="BetontFett"/>
          <w:b w:val="0"/>
          <w:bCs/>
        </w:rPr>
        <w:t>Alltagsantisemitismus</w:t>
      </w:r>
      <w:r>
        <w:t>. Dieser verweigert sich in der Art und Weise, wie er dargestellt wird, schnellen und pauschalen Erklärungsmustern und ist dadurch als Unterrichtsaspekt doppelt wertvoll. Lauras Annäherung an die Geschichte des Schatzes und an den Mitschüler Alexej geht einher mit einer Sensibilisierung für Erscheinungsformen des modernen Antisemitismus. Eine lange bestehende Freundschaft Lauras mit einem Mitschüler etwa geht aufgrund dessen antisemitischer Haltung verloren. Die differenzierte Beschreibung des Prozesses eignet sich sehr für eine Thematisierung im Unterricht mit konzentriertem Close Reading, um Feinheiten der beschriebenen Entwicklungen zu erforschen. Spannend ist das Eingehen auf unbedachtes Verwenden von antisemitischen Beschimpfungen unter Schülerinnen und Schülern.</w:t>
      </w:r>
    </w:p>
    <w:p w14:paraId="521034E8" w14:textId="71F8ACF4" w:rsidR="00E55AD5" w:rsidRDefault="00E55AD5" w:rsidP="008732E0">
      <w:r w:rsidRPr="008732E0">
        <w:rPr>
          <w:rStyle w:val="BetontFett"/>
          <w:b w:val="0"/>
          <w:bCs/>
        </w:rPr>
        <w:t xml:space="preserve">Rollen und Möglichkeiten für Frauen </w:t>
      </w:r>
      <w:r w:rsidRPr="008732E0">
        <w:rPr>
          <w:rStyle w:val="Betont-rckgngigmachen"/>
        </w:rPr>
        <w:t>in</w:t>
      </w:r>
      <w:r w:rsidRPr="00E55AD5">
        <w:rPr>
          <w:rStyle w:val="Betont-rckgngigmachen"/>
        </w:rPr>
        <w:t xml:space="preserve"> der Gesellschaft</w:t>
      </w:r>
      <w:r>
        <w:t xml:space="preserve"> sind ein mehrschichtiges Thema des Romans, das offensichtlich sehr bewusst gestaltet ist. Im Fokus stehen auf beiden zeitlichen Ebenen mehrheitlich Frauen und Mädchen, die durch Tatkraft und Gestaltungswillen auffallen. Lauras Mutter ist ebenso berufstätig wie ihre von Laura bewunderte Freundin Tamara. In Alexejs Familie fallen dessen Mutter und Großmutter als bestimmende Persönlichkeiten auf. Den aktiven Frauen stehen Männer gegenüber, die durchweg weniger aktiv dargestellt sind. Von Alexejs Vater erfährt man an prominenter Stelle, er habe „ein paar Kilo zuviel“. Ansonsten erscheint er freundlich und interessiert, nur eben nicht ausnehmend umtriebig. Lauras Vater existiert gar nicht erst, oder nur als blasse Erinnerung der Mutter. In diesem Zusammenhang erscheint es bezeichnend, dass das einzige männliche Wesen in Lauras Familie ein Hund namens Herr Schneider ist, der aufgrund seines Alters eher träge erscheint und häufig schläft. </w:t>
      </w:r>
    </w:p>
    <w:p w14:paraId="71D3E258" w14:textId="6B56C93D" w:rsidR="00E55AD5" w:rsidRDefault="00E55AD5" w:rsidP="008732E0">
      <w:r w:rsidRPr="008732E0">
        <w:t>Im Kontrast zu dieser Welt im 21. Jahrhundert steht die imaginierte von 1349</w:t>
      </w:r>
      <w:r>
        <w:t xml:space="preserve">. Die meisten Entscheidungen werden hier selbstverständlich von Männern getroffen. </w:t>
      </w:r>
      <w:r w:rsidR="00015074">
        <w:t>Erst nach dem Tod ihres Vaters kann Rachel beginnen,</w:t>
      </w:r>
      <w:r>
        <w:t xml:space="preserve"> selbstbestimmt zu handeln und </w:t>
      </w:r>
      <w:r w:rsidR="00015074">
        <w:t xml:space="preserve">fungiert </w:t>
      </w:r>
      <w:r>
        <w:t>kurzfristig sogar ihrem Bruder Joschua gegenüber als Familienoberhaupt. Am Ende ist sie aber erleichtert, dass sie die ihr auferlegte Eigenständigkeit zugunsten einer traditionellen Rolle in einer Ehe aufgeben darf. Ihre Haltung wird im dargestellten historischen Kontext plausibel, Lauras Entscheidungsfreiheit in der Gegenwart gewinnt vor dieser Folie an Bedeutung, plausibel ist sie allerdings ohnehin.</w:t>
      </w:r>
    </w:p>
    <w:p w14:paraId="475F7526" w14:textId="3B685338" w:rsidR="00E55AD5" w:rsidRDefault="00186C5C" w:rsidP="00E55AD5">
      <w:r w:rsidRPr="008732E0">
        <w:rPr>
          <w:rStyle w:val="Betont-rckgngigmachen"/>
        </w:rPr>
        <w:t>Erzählerische Gestaltung</w:t>
      </w:r>
      <w:r>
        <w:t xml:space="preserve">: </w:t>
      </w:r>
      <w:r w:rsidR="00E55AD5">
        <w:t xml:space="preserve">„Dunkles Gold“ folgt einem doppelten Kursus, erzählt </w:t>
      </w:r>
      <w:r w:rsidR="00E55AD5" w:rsidRPr="00186C5C">
        <w:rPr>
          <w:rStyle w:val="Betont-rckgngigmachen"/>
        </w:rPr>
        <w:t>zwei Geschichten parallel</w:t>
      </w:r>
      <w:r w:rsidR="00E55AD5">
        <w:t xml:space="preserve">. Die Struktur des Textes ist nicht überkomplex, sie weist aber formale Besonderheiten auf, die erkenntnisfördernd werden können. Die beiden Erzählstränge erhellen sich gegenseitig, indem Lauras Interesse für das Judentum und seine Geschichte und Rachels Blick auf ihre Situation sich aufeinander beziehen. </w:t>
      </w:r>
      <w:r w:rsidR="009E48C3">
        <w:t xml:space="preserve">Auch bietet </w:t>
      </w:r>
      <w:r w:rsidR="00E55AD5">
        <w:t xml:space="preserve">„Dunkles Gold“ </w:t>
      </w:r>
      <w:r w:rsidR="00E55AD5">
        <w:lastRenderedPageBreak/>
        <w:t>neben den inhaltlichen Erkenntnismöglichkeiten, zum Beispiel durch vergleichende Personencharakterisierung, einen Zugang zum Verständnis des Funktionierens eines modernen Jugendromans</w:t>
      </w:r>
      <w:r w:rsidR="000F48B5">
        <w:t xml:space="preserve">, der nicht lediglich monoperspektivisch arbeitet. </w:t>
      </w:r>
    </w:p>
    <w:p w14:paraId="617D00B1" w14:textId="010E0A35" w:rsidR="00E55AD5" w:rsidRDefault="00E55AD5" w:rsidP="00E55AD5">
      <w:pPr>
        <w:pStyle w:val="berschrift1"/>
      </w:pPr>
      <w:r>
        <w:t>Vorschläge für die Umsetzung</w:t>
      </w:r>
    </w:p>
    <w:p w14:paraId="70878C75" w14:textId="1C6104AE" w:rsidR="00186C5C" w:rsidRDefault="00186C5C" w:rsidP="00186C5C">
      <w:r>
        <w:t xml:space="preserve">Die Annäherung Lauras an die Graphic Novel als Kunstform legt es nahe, den Unterricht fächerverbindend mit dem Fach Bildende Kunst zu planen. So, wie die Protagonistin der Gegenwartsebene sich der jüdischen Vergangenheit mit künstlerischen Mitteln annähert, kann Lauras Geschichte durch die Schülerinnen und Schüler der realen Klasse konkretisiert werden. Parallel zur graphischen Gestaltung eines Ortes aus dem Romantext muss dieser zur Kontrolle der Zeichnungen herangezogen werden. Begleitend können im Deutschunterricht Beschreibungen, die im Roman Orte oder Personen nur andeuten, ausgestaltet werden. Beide Formen der Konkretisierung verfolgen die zentralen Ziele des textnahen Lesens. </w:t>
      </w:r>
    </w:p>
    <w:p w14:paraId="1B24647C" w14:textId="3F5B8345" w:rsidR="00186C5C" w:rsidRDefault="00186C5C" w:rsidP="00186C5C">
      <w:r w:rsidRPr="00186C5C">
        <w:t>Auch eine Verbindung mit dem Fach Geschichte bietet sich an: Unterstützt durch den Geschichtsunterricht kann die Vergangenheit des Heimatortes unter die Lupe genommen werden. Dabei muss es nicht nur um Geschichte der Verfolgung gehen</w:t>
      </w:r>
      <w:r w:rsidR="00803A31">
        <w:t>;</w:t>
      </w:r>
      <w:r w:rsidRPr="00186C5C">
        <w:t xml:space="preserve"> auch die Dokumentation eines gelingenden Miteinanders oder zumindest Nebeneinanders</w:t>
      </w:r>
      <w:r w:rsidR="000F48B5">
        <w:t xml:space="preserve"> von Christen und Juden</w:t>
      </w:r>
      <w:r w:rsidRPr="00186C5C">
        <w:t xml:space="preserve"> ist untersuchenswert. </w:t>
      </w:r>
      <w:r>
        <w:t>„</w:t>
      </w:r>
      <w:r w:rsidRPr="00186C5C">
        <w:t>Dunkles Gold</w:t>
      </w:r>
      <w:r>
        <w:t>“</w:t>
      </w:r>
      <w:r w:rsidRPr="00186C5C">
        <w:t xml:space="preserve"> schildert in der Rachelgeschichte immer wieder Alltagsdetails, die </w:t>
      </w:r>
      <w:r w:rsidR="009E48C3">
        <w:t xml:space="preserve">sich </w:t>
      </w:r>
      <w:r w:rsidRPr="00186C5C">
        <w:t>in örtlichen Museen, Sammlungen und Archiven niedergeschlagen haben können. Der Roman kann hier zu realer historischer Forschung Anregung geben.</w:t>
      </w:r>
      <w:r w:rsidR="009E48C3">
        <w:t xml:space="preserve"> Er</w:t>
      </w:r>
      <w:r>
        <w:t xml:space="preserve"> thematisiert </w:t>
      </w:r>
      <w:r w:rsidR="00803A31">
        <w:t>wiederholt</w:t>
      </w:r>
      <w:r>
        <w:t xml:space="preserve"> Aspekte der jüdischen Geschichte in Einzelschicksalen. Insbesondere die Erzählungen der Großmutter Alexejs sind hier anzuführen. In einer Projektarbeit kann den angesprochenen Ereignissen nachgegangen werden. Die Erzählungen der Großmutter, aber auch Rachels Geschichte, können als Anstoß genommen werden, sich genauer zu informieren und die Beziehung zwischen Erinnerungen oder Erlebnissen und historischen Darstellungen zu erforschen.</w:t>
      </w:r>
    </w:p>
    <w:p w14:paraId="64F90250" w14:textId="0885969D" w:rsidR="00186C5C" w:rsidRDefault="00186C5C" w:rsidP="00186C5C">
      <w:r>
        <w:t xml:space="preserve">Der Roman bietet reiche Möglichkeiten, der Bedeutung und den Auswirkungen sozialer Rollen auf individuelles Leben nachzugehen. Methodisch bedeutet das, dass textnahes Lesen mit dem Erkenntnisinteresse </w:t>
      </w:r>
      <w:r w:rsidR="00D20712">
        <w:t xml:space="preserve">bezüglich </w:t>
      </w:r>
      <w:r>
        <w:t>der Handlungsfreiheit und ihrer Grenzen in der Rachelgeschichte verbunden wird. Didaktisch bedeutet es, dass die Auswirkungen gesellschaftlicher Strukturen auf allgemeine oder die eigene Handlungsfreiheit ins Interesse rückt. Es können die beiden Zeitebenen, die der Roman abbildet, in Bezug auf die Möglichkeiten zum Beispiel von Frauen oder Mädchen betrachtet werden, aber auch ein Vergleich des Beschriebenen mit der eigenen Situation bietet sich an. Der Roman wird somit zu einem zu befragenden Gegenüber.</w:t>
      </w:r>
    </w:p>
    <w:p w14:paraId="3B4B8AF9" w14:textId="6449328A" w:rsidR="00D20712" w:rsidRDefault="00D20712" w:rsidP="00D20712">
      <w:pPr>
        <w:pStyle w:val="berschrift1"/>
      </w:pPr>
      <w:r>
        <w:lastRenderedPageBreak/>
        <w:t>Literatur, Textausgaben und mediale Umsetzungen</w:t>
      </w:r>
    </w:p>
    <w:p w14:paraId="4B6BFCE6" w14:textId="3B0E9576" w:rsidR="00D20712" w:rsidRDefault="00D20712" w:rsidP="00D20712">
      <w:pPr>
        <w:pStyle w:val="berschrift2"/>
      </w:pPr>
      <w:r>
        <w:t>Literatur (Auswahl)</w:t>
      </w:r>
    </w:p>
    <w:p w14:paraId="3BFAC421" w14:textId="1BB4EC62" w:rsidR="00203460" w:rsidRDefault="00203460" w:rsidP="00D20712">
      <w:pPr>
        <w:pStyle w:val="Literaturverzeichnis"/>
      </w:pPr>
      <w:r>
        <w:t>Peter Schallmayer: „</w:t>
      </w:r>
      <w:hyperlink r:id="rId12" w:history="1">
        <w:r w:rsidRPr="00203460">
          <w:rPr>
            <w:rStyle w:val="Hyperlink"/>
          </w:rPr>
          <w:t>Dunkles Gold“ im Unterricht. Lehrerhandreichung zum Jugendroman von Mirjam Pressler</w:t>
        </w:r>
      </w:hyperlink>
      <w:r>
        <w:t>.</w:t>
      </w:r>
    </w:p>
    <w:p w14:paraId="41D11356" w14:textId="45E15FB2" w:rsidR="00D20712" w:rsidRDefault="00D20712" w:rsidP="00D20712">
      <w:pPr>
        <w:pStyle w:val="Literaturverzeichnis"/>
      </w:pPr>
      <w:r>
        <w:t xml:space="preserve">Barbara Tuchman: </w:t>
      </w:r>
      <w:r w:rsidR="007A1A5E">
        <w:t>Der f</w:t>
      </w:r>
      <w:r>
        <w:t>erne Spiegel. Das dramatische vierzehnte Jahrhundert. Düsseldorf 1980</w:t>
      </w:r>
    </w:p>
    <w:p w14:paraId="03467CF7" w14:textId="3479EA5E" w:rsidR="00D20712" w:rsidRDefault="00D20712" w:rsidP="00D20712">
      <w:pPr>
        <w:pStyle w:val="berschrift2"/>
      </w:pPr>
      <w:r>
        <w:t>Textausgaben und mediale Umsetzungen</w:t>
      </w:r>
    </w:p>
    <w:p w14:paraId="50DE5F6A" w14:textId="23CE85E7" w:rsidR="00D20712" w:rsidRDefault="00D20712" w:rsidP="00D20712">
      <w:pPr>
        <w:pStyle w:val="Literaturverzeichnis"/>
      </w:pPr>
      <w:r w:rsidRPr="00D20712">
        <w:t>Mirjam Pressler: Dunkles Gold. Weinheim 2019</w:t>
      </w:r>
    </w:p>
    <w:p w14:paraId="3B24B44B" w14:textId="7F51585D" w:rsidR="00D20712" w:rsidRDefault="00934648" w:rsidP="00D20712">
      <w:r>
        <w:t xml:space="preserve">Mirjam Pressler: </w:t>
      </w:r>
      <w:hyperlink r:id="rId13" w:history="1">
        <w:r w:rsidRPr="00934648">
          <w:rPr>
            <w:rStyle w:val="Hyperlink"/>
          </w:rPr>
          <w:t>Dunkles Gold. Hörbuch</w:t>
        </w:r>
      </w:hyperlink>
      <w:r>
        <w:t>. Gelesen von Anke Stoppa. Produziert von: Deutsches Zentrum für barrierefreies Lesen 2019.</w:t>
      </w:r>
    </w:p>
    <w:p w14:paraId="4E9D1731" w14:textId="0F392EA2" w:rsidR="00934648" w:rsidRDefault="00934648" w:rsidP="00934648">
      <w:pPr>
        <w:pStyle w:val="berschrift2"/>
      </w:pPr>
      <w:r>
        <w:t>Schlagwörter</w:t>
      </w:r>
    </w:p>
    <w:p w14:paraId="74F4B05A" w14:textId="17EA0B72" w:rsidR="00934648" w:rsidRPr="00934648" w:rsidRDefault="00934648" w:rsidP="00934648">
      <w:r w:rsidRPr="00800422">
        <w:t xml:space="preserve">Adoleszenz, </w:t>
      </w:r>
      <w:r w:rsidR="00535F7E">
        <w:t xml:space="preserve">Antisemitismus, </w:t>
      </w:r>
      <w:r w:rsidR="008732E0">
        <w:t xml:space="preserve">Familie, </w:t>
      </w:r>
      <w:r w:rsidR="00137F97">
        <w:t xml:space="preserve">Flucht, </w:t>
      </w:r>
      <w:r w:rsidR="008732E0">
        <w:t xml:space="preserve">Freundschaft, </w:t>
      </w:r>
      <w:r w:rsidR="00535F7E">
        <w:t xml:space="preserve">Historischer Roman, </w:t>
      </w:r>
      <w:r w:rsidR="008732E0">
        <w:t xml:space="preserve">Judentum, Jugendroman, </w:t>
      </w:r>
      <w:r w:rsidRPr="00800422">
        <w:t>Liebe</w:t>
      </w:r>
    </w:p>
    <w:sectPr w:rsidR="00934648" w:rsidRPr="00934648" w:rsidSect="00454F3D">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486" w:right="1117" w:bottom="1117" w:left="1134" w:header="737" w:footer="374" w:gutter="0"/>
      <w:lnNumType w:countBy="1" w:restart="newSecti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3C00E" w14:textId="77777777" w:rsidR="00BE17F7" w:rsidRDefault="00BE17F7" w:rsidP="00263F44">
      <w:r>
        <w:separator/>
      </w:r>
    </w:p>
  </w:endnote>
  <w:endnote w:type="continuationSeparator" w:id="0">
    <w:p w14:paraId="7EDA2935" w14:textId="77777777" w:rsidR="00BE17F7" w:rsidRDefault="00BE17F7"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MV Boli"/>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dea">
    <w:altName w:val="Calibri"/>
    <w:panose1 w:val="020B0604020202020204"/>
    <w:charset w:val="00"/>
    <w:family w:val="auto"/>
    <w:pitch w:val="variable"/>
    <w:sig w:usb0="A00000AF" w:usb1="4000206A"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9DB9" w14:textId="77777777" w:rsidR="003C11C2" w:rsidRDefault="003C11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D7B0D" w14:textId="4F52324E" w:rsidR="008A07D8" w:rsidRPr="00120371" w:rsidRDefault="008A07D8" w:rsidP="004159D5">
    <w:pPr>
      <w:pStyle w:val="Fuzeile"/>
      <w:ind w:left="0" w:right="0"/>
    </w:pPr>
    <w:r w:rsidRPr="00120371">
      <w:t xml:space="preserve">Stand: </w:t>
    </w:r>
    <w:fldSimple w:instr=" DATE   \* MERGEFORMAT ">
      <w:r w:rsidR="003C11C2">
        <w:rPr>
          <w:noProof/>
        </w:rPr>
        <w:t>17.03.26</w:t>
      </w:r>
    </w:fldSimple>
    <w:r w:rsidRPr="00120371">
      <w:tab/>
    </w:r>
    <w:r w:rsidR="003C11C2" w:rsidRPr="00365478">
      <w:t>Bildungsserver Baden-Württemberg (BSBW)</w:t>
    </w:r>
    <w:r w:rsidRPr="00120371">
      <w:tab/>
    </w:r>
    <w:r w:rsidRPr="00120371">
      <w:fldChar w:fldCharType="begin"/>
    </w:r>
    <w:r w:rsidRPr="00120371">
      <w:instrText xml:space="preserve"> PAGE   \* MERGEFORMAT </w:instrText>
    </w:r>
    <w:r w:rsidRPr="00120371">
      <w:fldChar w:fldCharType="separate"/>
    </w:r>
    <w:r w:rsidR="00500203">
      <w:rPr>
        <w:noProof/>
      </w:rPr>
      <w:t>6</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00500203">
      <w:rPr>
        <w:noProof/>
      </w:rPr>
      <w:t>7</w:t>
    </w:r>
    <w:r w:rsidRPr="0012037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0B79C" w14:textId="77777777" w:rsidR="003C11C2" w:rsidRDefault="003C11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372E" w14:textId="77777777" w:rsidR="00BE17F7" w:rsidRDefault="00BE17F7" w:rsidP="00263F44">
      <w:r>
        <w:separator/>
      </w:r>
    </w:p>
  </w:footnote>
  <w:footnote w:type="continuationSeparator" w:id="0">
    <w:p w14:paraId="0D7CE89E" w14:textId="77777777" w:rsidR="00BE17F7" w:rsidRDefault="00BE17F7"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089D" w14:textId="77777777" w:rsidR="003C11C2" w:rsidRDefault="003C11C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6012" w14:textId="7760ECDE" w:rsidR="008A07D8" w:rsidRDefault="008A07D8" w:rsidP="004159D5">
    <w:pPr>
      <w:pStyle w:val="Kopfzeile"/>
    </w:pPr>
    <w:r w:rsidRPr="00BD5B02">
      <w:rPr>
        <w:noProof/>
        <w:lang w:eastAsia="de-DE"/>
      </w:rPr>
      <w:drawing>
        <wp:inline distT="0" distB="0" distL="0" distR="0" wp14:anchorId="4C27D8CB" wp14:editId="2FB4D1F8">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r>
    <w:r w:rsidR="00FE2F83">
      <w:t>Deutsch</w:t>
    </w:r>
    <w:r>
      <w:t xml:space="preserve"> | </w:t>
    </w:r>
    <w:r w:rsidR="00FE2F83">
      <w:t>8</w:t>
    </w:r>
    <w:r w:rsidR="008732E0">
      <w:t>-</w:t>
    </w:r>
    <w:r w:rsidR="00FE2F83">
      <w:t>9</w:t>
    </w:r>
    <w:r>
      <w:t xml:space="preserve"> | </w:t>
    </w:r>
    <w:r w:rsidR="00FE2F83">
      <w:t>Empfehlungsliste KJL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ECDC" w14:textId="77777777" w:rsidR="003C11C2" w:rsidRDefault="003C11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233B63"/>
    <w:multiLevelType w:val="hybridMultilevel"/>
    <w:tmpl w:val="A4305EBC"/>
    <w:lvl w:ilvl="0" w:tplc="7D92C832">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1955749110">
    <w:abstractNumId w:val="8"/>
  </w:num>
  <w:num w:numId="2" w16cid:durableId="849442158">
    <w:abstractNumId w:val="2"/>
  </w:num>
  <w:num w:numId="3" w16cid:durableId="1225870493">
    <w:abstractNumId w:val="9"/>
  </w:num>
  <w:num w:numId="4" w16cid:durableId="1029918889">
    <w:abstractNumId w:val="3"/>
  </w:num>
  <w:num w:numId="5" w16cid:durableId="1221019616">
    <w:abstractNumId w:val="6"/>
  </w:num>
  <w:num w:numId="6" w16cid:durableId="1484929946">
    <w:abstractNumId w:val="0"/>
  </w:num>
  <w:num w:numId="7" w16cid:durableId="1217550386">
    <w:abstractNumId w:val="7"/>
  </w:num>
  <w:num w:numId="8" w16cid:durableId="1275018237">
    <w:abstractNumId w:val="5"/>
  </w:num>
  <w:num w:numId="9" w16cid:durableId="552424968">
    <w:abstractNumId w:val="1"/>
  </w:num>
  <w:num w:numId="10" w16cid:durableId="1422217857">
    <w:abstractNumId w:val="4"/>
  </w:num>
  <w:num w:numId="11" w16cid:durableId="1567296665">
    <w:abstractNumId w:val="1"/>
    <w:lvlOverride w:ilvl="0">
      <w:startOverride w:val="1"/>
    </w:lvlOverride>
  </w:num>
  <w:num w:numId="12" w16cid:durableId="899897940">
    <w:abstractNumId w:val="1"/>
    <w:lvlOverride w:ilvl="0">
      <w:startOverride w:val="1"/>
    </w:lvlOverride>
  </w:num>
  <w:num w:numId="13" w16cid:durableId="2442857">
    <w:abstractNumId w:val="1"/>
    <w:lvlOverride w:ilvl="0">
      <w:startOverride w:val="1"/>
    </w:lvlOverride>
  </w:num>
  <w:num w:numId="14" w16cid:durableId="555433944">
    <w:abstractNumId w:val="1"/>
    <w:lvlOverride w:ilvl="0">
      <w:startOverride w:val="1"/>
    </w:lvlOverride>
  </w:num>
  <w:num w:numId="15" w16cid:durableId="1776123835">
    <w:abstractNumId w:val="1"/>
    <w:lvlOverride w:ilvl="0">
      <w:startOverride w:val="1"/>
    </w:lvlOverride>
  </w:num>
  <w:num w:numId="16" w16cid:durableId="1327243432">
    <w:abstractNumId w:val="1"/>
    <w:lvlOverride w:ilvl="0">
      <w:startOverride w:val="1"/>
    </w:lvlOverride>
  </w:num>
  <w:num w:numId="17" w16cid:durableId="2133983621">
    <w:abstractNumId w:val="1"/>
    <w:lvlOverride w:ilvl="0">
      <w:startOverride w:val="1"/>
    </w:lvlOverride>
  </w:num>
  <w:num w:numId="18" w16cid:durableId="975528600">
    <w:abstractNumId w:val="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4CC"/>
    <w:rsid w:val="00005521"/>
    <w:rsid w:val="00005658"/>
    <w:rsid w:val="00010FF1"/>
    <w:rsid w:val="000119F5"/>
    <w:rsid w:val="00015074"/>
    <w:rsid w:val="000206EA"/>
    <w:rsid w:val="0002154A"/>
    <w:rsid w:val="000243BB"/>
    <w:rsid w:val="00031D8C"/>
    <w:rsid w:val="00035065"/>
    <w:rsid w:val="00035A46"/>
    <w:rsid w:val="00040605"/>
    <w:rsid w:val="000433EF"/>
    <w:rsid w:val="00046BB2"/>
    <w:rsid w:val="00051280"/>
    <w:rsid w:val="00052C53"/>
    <w:rsid w:val="000538EA"/>
    <w:rsid w:val="00063727"/>
    <w:rsid w:val="00063B7B"/>
    <w:rsid w:val="00065064"/>
    <w:rsid w:val="00083630"/>
    <w:rsid w:val="00083838"/>
    <w:rsid w:val="0009513B"/>
    <w:rsid w:val="0009635B"/>
    <w:rsid w:val="000A08F7"/>
    <w:rsid w:val="000A2FD9"/>
    <w:rsid w:val="000B06A1"/>
    <w:rsid w:val="000C1899"/>
    <w:rsid w:val="000C4F61"/>
    <w:rsid w:val="000C63B8"/>
    <w:rsid w:val="000C7E6C"/>
    <w:rsid w:val="000E44D2"/>
    <w:rsid w:val="000E4A64"/>
    <w:rsid w:val="000E5416"/>
    <w:rsid w:val="000F247A"/>
    <w:rsid w:val="000F44DD"/>
    <w:rsid w:val="000F48B5"/>
    <w:rsid w:val="000F63D9"/>
    <w:rsid w:val="001002FE"/>
    <w:rsid w:val="0010328B"/>
    <w:rsid w:val="001078A6"/>
    <w:rsid w:val="0011717F"/>
    <w:rsid w:val="00120371"/>
    <w:rsid w:val="00120CFB"/>
    <w:rsid w:val="00121F87"/>
    <w:rsid w:val="00125873"/>
    <w:rsid w:val="001313B3"/>
    <w:rsid w:val="00134D89"/>
    <w:rsid w:val="00135C29"/>
    <w:rsid w:val="00137F97"/>
    <w:rsid w:val="001474C2"/>
    <w:rsid w:val="001510F8"/>
    <w:rsid w:val="00154B07"/>
    <w:rsid w:val="00160CAC"/>
    <w:rsid w:val="001628BE"/>
    <w:rsid w:val="001834D8"/>
    <w:rsid w:val="00185DD8"/>
    <w:rsid w:val="00186C5C"/>
    <w:rsid w:val="001916C5"/>
    <w:rsid w:val="00192556"/>
    <w:rsid w:val="00193366"/>
    <w:rsid w:val="001A016C"/>
    <w:rsid w:val="001A2103"/>
    <w:rsid w:val="001A3D77"/>
    <w:rsid w:val="001A7B50"/>
    <w:rsid w:val="001B1952"/>
    <w:rsid w:val="001B6F12"/>
    <w:rsid w:val="001C2920"/>
    <w:rsid w:val="001C4DBA"/>
    <w:rsid w:val="001C51F6"/>
    <w:rsid w:val="001E01ED"/>
    <w:rsid w:val="001E03DE"/>
    <w:rsid w:val="001E14B5"/>
    <w:rsid w:val="001E1ECC"/>
    <w:rsid w:val="001E2674"/>
    <w:rsid w:val="001E40B0"/>
    <w:rsid w:val="00203460"/>
    <w:rsid w:val="002044F7"/>
    <w:rsid w:val="00207020"/>
    <w:rsid w:val="00210D03"/>
    <w:rsid w:val="002139E7"/>
    <w:rsid w:val="002174CC"/>
    <w:rsid w:val="00220C31"/>
    <w:rsid w:val="00221E54"/>
    <w:rsid w:val="002223B8"/>
    <w:rsid w:val="002238D9"/>
    <w:rsid w:val="00230761"/>
    <w:rsid w:val="0023488D"/>
    <w:rsid w:val="00234D1C"/>
    <w:rsid w:val="00241FAB"/>
    <w:rsid w:val="0024208F"/>
    <w:rsid w:val="00244304"/>
    <w:rsid w:val="00253D95"/>
    <w:rsid w:val="002547E1"/>
    <w:rsid w:val="002606E0"/>
    <w:rsid w:val="00263F44"/>
    <w:rsid w:val="00271E44"/>
    <w:rsid w:val="002729A7"/>
    <w:rsid w:val="00274B6E"/>
    <w:rsid w:val="002818BF"/>
    <w:rsid w:val="00282513"/>
    <w:rsid w:val="0028650B"/>
    <w:rsid w:val="002909D6"/>
    <w:rsid w:val="00292BAF"/>
    <w:rsid w:val="002938BF"/>
    <w:rsid w:val="00296589"/>
    <w:rsid w:val="002A1EBD"/>
    <w:rsid w:val="002A25FD"/>
    <w:rsid w:val="002A39DB"/>
    <w:rsid w:val="002A7592"/>
    <w:rsid w:val="002B2CC9"/>
    <w:rsid w:val="002B4DF4"/>
    <w:rsid w:val="002B5A59"/>
    <w:rsid w:val="002C5AF4"/>
    <w:rsid w:val="002D1E9B"/>
    <w:rsid w:val="002D50BA"/>
    <w:rsid w:val="002E68F9"/>
    <w:rsid w:val="002E6A2E"/>
    <w:rsid w:val="002E779E"/>
    <w:rsid w:val="002F12D2"/>
    <w:rsid w:val="002F1D5A"/>
    <w:rsid w:val="002F2E66"/>
    <w:rsid w:val="002F3860"/>
    <w:rsid w:val="0030155E"/>
    <w:rsid w:val="00307652"/>
    <w:rsid w:val="003102B7"/>
    <w:rsid w:val="00311C43"/>
    <w:rsid w:val="00314FFC"/>
    <w:rsid w:val="00316CF2"/>
    <w:rsid w:val="003307B4"/>
    <w:rsid w:val="00333CC2"/>
    <w:rsid w:val="00336D04"/>
    <w:rsid w:val="0034534B"/>
    <w:rsid w:val="003465FC"/>
    <w:rsid w:val="00353829"/>
    <w:rsid w:val="00360BB9"/>
    <w:rsid w:val="0036741F"/>
    <w:rsid w:val="003716B4"/>
    <w:rsid w:val="003733AC"/>
    <w:rsid w:val="00373DB6"/>
    <w:rsid w:val="003754E3"/>
    <w:rsid w:val="003810EE"/>
    <w:rsid w:val="00384F51"/>
    <w:rsid w:val="0039124F"/>
    <w:rsid w:val="00391D90"/>
    <w:rsid w:val="003969C3"/>
    <w:rsid w:val="003A0618"/>
    <w:rsid w:val="003A7640"/>
    <w:rsid w:val="003B2130"/>
    <w:rsid w:val="003B5C3B"/>
    <w:rsid w:val="003C11C2"/>
    <w:rsid w:val="003C20E9"/>
    <w:rsid w:val="003C721B"/>
    <w:rsid w:val="003E27CA"/>
    <w:rsid w:val="003E39F1"/>
    <w:rsid w:val="003E55CD"/>
    <w:rsid w:val="003E5C20"/>
    <w:rsid w:val="004046CE"/>
    <w:rsid w:val="00415069"/>
    <w:rsid w:val="004159D5"/>
    <w:rsid w:val="00417394"/>
    <w:rsid w:val="004204D2"/>
    <w:rsid w:val="00423B5E"/>
    <w:rsid w:val="00431EA3"/>
    <w:rsid w:val="0043692F"/>
    <w:rsid w:val="00442892"/>
    <w:rsid w:val="00442C06"/>
    <w:rsid w:val="0044650F"/>
    <w:rsid w:val="00447BF2"/>
    <w:rsid w:val="00454F3D"/>
    <w:rsid w:val="00455880"/>
    <w:rsid w:val="0046328C"/>
    <w:rsid w:val="00467AD8"/>
    <w:rsid w:val="00470E0A"/>
    <w:rsid w:val="0048193B"/>
    <w:rsid w:val="00482FC2"/>
    <w:rsid w:val="00490727"/>
    <w:rsid w:val="00490DC9"/>
    <w:rsid w:val="0049356E"/>
    <w:rsid w:val="00494BB5"/>
    <w:rsid w:val="00496B9F"/>
    <w:rsid w:val="004A3225"/>
    <w:rsid w:val="004B1AE5"/>
    <w:rsid w:val="004B2484"/>
    <w:rsid w:val="004B5E11"/>
    <w:rsid w:val="004C2136"/>
    <w:rsid w:val="004C3A65"/>
    <w:rsid w:val="004D069D"/>
    <w:rsid w:val="004D476C"/>
    <w:rsid w:val="004D4E8E"/>
    <w:rsid w:val="004F0F9E"/>
    <w:rsid w:val="004F18B8"/>
    <w:rsid w:val="00500203"/>
    <w:rsid w:val="00514DF7"/>
    <w:rsid w:val="005154E3"/>
    <w:rsid w:val="005259C4"/>
    <w:rsid w:val="00532DFA"/>
    <w:rsid w:val="00535666"/>
    <w:rsid w:val="00535E5A"/>
    <w:rsid w:val="00535F7E"/>
    <w:rsid w:val="00542D7D"/>
    <w:rsid w:val="00543366"/>
    <w:rsid w:val="00545620"/>
    <w:rsid w:val="0054705A"/>
    <w:rsid w:val="00554717"/>
    <w:rsid w:val="00554A4B"/>
    <w:rsid w:val="00554C98"/>
    <w:rsid w:val="00555841"/>
    <w:rsid w:val="0055750D"/>
    <w:rsid w:val="00560007"/>
    <w:rsid w:val="00565737"/>
    <w:rsid w:val="005735E9"/>
    <w:rsid w:val="00573E4F"/>
    <w:rsid w:val="00573EF2"/>
    <w:rsid w:val="00575A52"/>
    <w:rsid w:val="00577F24"/>
    <w:rsid w:val="005817A7"/>
    <w:rsid w:val="00585D68"/>
    <w:rsid w:val="00596C81"/>
    <w:rsid w:val="005A2907"/>
    <w:rsid w:val="005A7995"/>
    <w:rsid w:val="005B49E6"/>
    <w:rsid w:val="005B62E2"/>
    <w:rsid w:val="005C0A84"/>
    <w:rsid w:val="005C3DE5"/>
    <w:rsid w:val="005C61B3"/>
    <w:rsid w:val="005D2BC5"/>
    <w:rsid w:val="005D32AB"/>
    <w:rsid w:val="005D74F8"/>
    <w:rsid w:val="005E00E8"/>
    <w:rsid w:val="005E11D2"/>
    <w:rsid w:val="005E43EE"/>
    <w:rsid w:val="005F489D"/>
    <w:rsid w:val="005F52B1"/>
    <w:rsid w:val="005F7B80"/>
    <w:rsid w:val="00601D86"/>
    <w:rsid w:val="00606359"/>
    <w:rsid w:val="0060726D"/>
    <w:rsid w:val="00621170"/>
    <w:rsid w:val="0062129C"/>
    <w:rsid w:val="00623727"/>
    <w:rsid w:val="006276AE"/>
    <w:rsid w:val="0063086E"/>
    <w:rsid w:val="006310CB"/>
    <w:rsid w:val="00632B6A"/>
    <w:rsid w:val="00633CC6"/>
    <w:rsid w:val="006347EE"/>
    <w:rsid w:val="00634E2F"/>
    <w:rsid w:val="00637FC6"/>
    <w:rsid w:val="006424DD"/>
    <w:rsid w:val="0064329A"/>
    <w:rsid w:val="006505DB"/>
    <w:rsid w:val="00651674"/>
    <w:rsid w:val="00652F98"/>
    <w:rsid w:val="00653A69"/>
    <w:rsid w:val="0065733C"/>
    <w:rsid w:val="0066471F"/>
    <w:rsid w:val="00665712"/>
    <w:rsid w:val="00667AB1"/>
    <w:rsid w:val="00670BD3"/>
    <w:rsid w:val="00676A9C"/>
    <w:rsid w:val="00684ECB"/>
    <w:rsid w:val="00686F80"/>
    <w:rsid w:val="00695285"/>
    <w:rsid w:val="00697CA8"/>
    <w:rsid w:val="006B3B75"/>
    <w:rsid w:val="006C1699"/>
    <w:rsid w:val="006C36A7"/>
    <w:rsid w:val="006C3F8F"/>
    <w:rsid w:val="006D7A4A"/>
    <w:rsid w:val="006E0719"/>
    <w:rsid w:val="006F2915"/>
    <w:rsid w:val="006F7254"/>
    <w:rsid w:val="006F74CB"/>
    <w:rsid w:val="0070525B"/>
    <w:rsid w:val="00705C1A"/>
    <w:rsid w:val="0071190A"/>
    <w:rsid w:val="007302F9"/>
    <w:rsid w:val="00730652"/>
    <w:rsid w:val="00747952"/>
    <w:rsid w:val="00751F2A"/>
    <w:rsid w:val="007566E6"/>
    <w:rsid w:val="007572C2"/>
    <w:rsid w:val="00762D3F"/>
    <w:rsid w:val="007633FC"/>
    <w:rsid w:val="00766DC2"/>
    <w:rsid w:val="007718C7"/>
    <w:rsid w:val="00771D98"/>
    <w:rsid w:val="00774778"/>
    <w:rsid w:val="00783A80"/>
    <w:rsid w:val="00791847"/>
    <w:rsid w:val="007A0885"/>
    <w:rsid w:val="007A1A5E"/>
    <w:rsid w:val="007A1BAD"/>
    <w:rsid w:val="007A5904"/>
    <w:rsid w:val="007B2DCA"/>
    <w:rsid w:val="007B5295"/>
    <w:rsid w:val="007B5328"/>
    <w:rsid w:val="007B57A2"/>
    <w:rsid w:val="007B6059"/>
    <w:rsid w:val="007B7729"/>
    <w:rsid w:val="007C2EB8"/>
    <w:rsid w:val="007C756A"/>
    <w:rsid w:val="007C7758"/>
    <w:rsid w:val="007D2378"/>
    <w:rsid w:val="007D5D28"/>
    <w:rsid w:val="007E00B0"/>
    <w:rsid w:val="007E4198"/>
    <w:rsid w:val="007E72AF"/>
    <w:rsid w:val="007E76C0"/>
    <w:rsid w:val="007F5051"/>
    <w:rsid w:val="007F5978"/>
    <w:rsid w:val="00803A31"/>
    <w:rsid w:val="00806A96"/>
    <w:rsid w:val="00810E41"/>
    <w:rsid w:val="00811543"/>
    <w:rsid w:val="00813751"/>
    <w:rsid w:val="00817902"/>
    <w:rsid w:val="00822474"/>
    <w:rsid w:val="00822CE7"/>
    <w:rsid w:val="00825FB5"/>
    <w:rsid w:val="00837FA8"/>
    <w:rsid w:val="00851F1D"/>
    <w:rsid w:val="00855F12"/>
    <w:rsid w:val="008626D1"/>
    <w:rsid w:val="008666EC"/>
    <w:rsid w:val="00872FD6"/>
    <w:rsid w:val="008732E0"/>
    <w:rsid w:val="008749B7"/>
    <w:rsid w:val="00876D85"/>
    <w:rsid w:val="00880A5B"/>
    <w:rsid w:val="008825CA"/>
    <w:rsid w:val="008836AE"/>
    <w:rsid w:val="00891551"/>
    <w:rsid w:val="008A07D8"/>
    <w:rsid w:val="008A2EBA"/>
    <w:rsid w:val="008A6AA9"/>
    <w:rsid w:val="008A6D36"/>
    <w:rsid w:val="008A73B1"/>
    <w:rsid w:val="008A7911"/>
    <w:rsid w:val="008A7D04"/>
    <w:rsid w:val="008B059D"/>
    <w:rsid w:val="008B0AAF"/>
    <w:rsid w:val="008B3FFE"/>
    <w:rsid w:val="008B5BD4"/>
    <w:rsid w:val="008B696F"/>
    <w:rsid w:val="008C46DA"/>
    <w:rsid w:val="008C6455"/>
    <w:rsid w:val="008C6501"/>
    <w:rsid w:val="008D4E73"/>
    <w:rsid w:val="008D547C"/>
    <w:rsid w:val="008D5B6D"/>
    <w:rsid w:val="008E0658"/>
    <w:rsid w:val="008E12E1"/>
    <w:rsid w:val="008E442B"/>
    <w:rsid w:val="008E562D"/>
    <w:rsid w:val="008E62DC"/>
    <w:rsid w:val="008F3F19"/>
    <w:rsid w:val="008F7851"/>
    <w:rsid w:val="009027E5"/>
    <w:rsid w:val="0090616C"/>
    <w:rsid w:val="00914161"/>
    <w:rsid w:val="00915311"/>
    <w:rsid w:val="00924411"/>
    <w:rsid w:val="0092578C"/>
    <w:rsid w:val="00934648"/>
    <w:rsid w:val="00934807"/>
    <w:rsid w:val="00934B0F"/>
    <w:rsid w:val="00943BE8"/>
    <w:rsid w:val="00947D37"/>
    <w:rsid w:val="00950A22"/>
    <w:rsid w:val="009533B3"/>
    <w:rsid w:val="00953513"/>
    <w:rsid w:val="0096230C"/>
    <w:rsid w:val="009638F8"/>
    <w:rsid w:val="00963EDC"/>
    <w:rsid w:val="0097339B"/>
    <w:rsid w:val="009762CC"/>
    <w:rsid w:val="009935DA"/>
    <w:rsid w:val="00997677"/>
    <w:rsid w:val="009A2D42"/>
    <w:rsid w:val="009A44C4"/>
    <w:rsid w:val="009A5B0E"/>
    <w:rsid w:val="009B5349"/>
    <w:rsid w:val="009C05F9"/>
    <w:rsid w:val="009C59DB"/>
    <w:rsid w:val="009D18FF"/>
    <w:rsid w:val="009E1A78"/>
    <w:rsid w:val="009E24D0"/>
    <w:rsid w:val="009E3367"/>
    <w:rsid w:val="009E48C3"/>
    <w:rsid w:val="009E4E76"/>
    <w:rsid w:val="009E5FFD"/>
    <w:rsid w:val="009F0391"/>
    <w:rsid w:val="009F0641"/>
    <w:rsid w:val="009F388C"/>
    <w:rsid w:val="009F4E5F"/>
    <w:rsid w:val="00A02163"/>
    <w:rsid w:val="00A0608C"/>
    <w:rsid w:val="00A0783A"/>
    <w:rsid w:val="00A12327"/>
    <w:rsid w:val="00A15621"/>
    <w:rsid w:val="00A2219A"/>
    <w:rsid w:val="00A22A12"/>
    <w:rsid w:val="00A30E06"/>
    <w:rsid w:val="00A32CC4"/>
    <w:rsid w:val="00A66462"/>
    <w:rsid w:val="00A718E9"/>
    <w:rsid w:val="00A72652"/>
    <w:rsid w:val="00A75E10"/>
    <w:rsid w:val="00A771F9"/>
    <w:rsid w:val="00A776BB"/>
    <w:rsid w:val="00A80D3E"/>
    <w:rsid w:val="00A82D51"/>
    <w:rsid w:val="00A83CBC"/>
    <w:rsid w:val="00A87204"/>
    <w:rsid w:val="00A92A3D"/>
    <w:rsid w:val="00A9421D"/>
    <w:rsid w:val="00A978D5"/>
    <w:rsid w:val="00AA40A3"/>
    <w:rsid w:val="00AA479F"/>
    <w:rsid w:val="00AA4CD0"/>
    <w:rsid w:val="00AB0FE7"/>
    <w:rsid w:val="00AB3614"/>
    <w:rsid w:val="00AB4D45"/>
    <w:rsid w:val="00AB5C52"/>
    <w:rsid w:val="00AB73A3"/>
    <w:rsid w:val="00AB7E3F"/>
    <w:rsid w:val="00AC116A"/>
    <w:rsid w:val="00AD4499"/>
    <w:rsid w:val="00AD72AA"/>
    <w:rsid w:val="00AE040E"/>
    <w:rsid w:val="00AE354F"/>
    <w:rsid w:val="00AE59BA"/>
    <w:rsid w:val="00AE6F99"/>
    <w:rsid w:val="00AF1C32"/>
    <w:rsid w:val="00AF3A17"/>
    <w:rsid w:val="00B00C2B"/>
    <w:rsid w:val="00B0722F"/>
    <w:rsid w:val="00B07590"/>
    <w:rsid w:val="00B126F3"/>
    <w:rsid w:val="00B1490D"/>
    <w:rsid w:val="00B16CF9"/>
    <w:rsid w:val="00B2323B"/>
    <w:rsid w:val="00B31038"/>
    <w:rsid w:val="00B31D01"/>
    <w:rsid w:val="00B347F2"/>
    <w:rsid w:val="00B34CB2"/>
    <w:rsid w:val="00B41BEE"/>
    <w:rsid w:val="00B45375"/>
    <w:rsid w:val="00B510EE"/>
    <w:rsid w:val="00B51941"/>
    <w:rsid w:val="00B5611D"/>
    <w:rsid w:val="00B63C56"/>
    <w:rsid w:val="00B73422"/>
    <w:rsid w:val="00B73EA4"/>
    <w:rsid w:val="00B81382"/>
    <w:rsid w:val="00B8215D"/>
    <w:rsid w:val="00B90541"/>
    <w:rsid w:val="00B90B2E"/>
    <w:rsid w:val="00B96B5A"/>
    <w:rsid w:val="00BA0311"/>
    <w:rsid w:val="00BA4783"/>
    <w:rsid w:val="00BA5A1F"/>
    <w:rsid w:val="00BA69FB"/>
    <w:rsid w:val="00BA6F12"/>
    <w:rsid w:val="00BB5155"/>
    <w:rsid w:val="00BC29F4"/>
    <w:rsid w:val="00BC5D6F"/>
    <w:rsid w:val="00BC6F27"/>
    <w:rsid w:val="00BD0B49"/>
    <w:rsid w:val="00BD195B"/>
    <w:rsid w:val="00BD5B02"/>
    <w:rsid w:val="00BE17F7"/>
    <w:rsid w:val="00BE5C1D"/>
    <w:rsid w:val="00BF1D1D"/>
    <w:rsid w:val="00BF5489"/>
    <w:rsid w:val="00BF5CE6"/>
    <w:rsid w:val="00BF6D36"/>
    <w:rsid w:val="00C1022E"/>
    <w:rsid w:val="00C152FD"/>
    <w:rsid w:val="00C20184"/>
    <w:rsid w:val="00C22C2F"/>
    <w:rsid w:val="00C22DA6"/>
    <w:rsid w:val="00C25073"/>
    <w:rsid w:val="00C43374"/>
    <w:rsid w:val="00C463C2"/>
    <w:rsid w:val="00C51079"/>
    <w:rsid w:val="00C6360C"/>
    <w:rsid w:val="00C64BC2"/>
    <w:rsid w:val="00C66C69"/>
    <w:rsid w:val="00C74AB3"/>
    <w:rsid w:val="00C8127F"/>
    <w:rsid w:val="00C841B6"/>
    <w:rsid w:val="00C91BDE"/>
    <w:rsid w:val="00C96C6A"/>
    <w:rsid w:val="00CA12E7"/>
    <w:rsid w:val="00CA4CDA"/>
    <w:rsid w:val="00CB04C1"/>
    <w:rsid w:val="00CB26EF"/>
    <w:rsid w:val="00CB6C1D"/>
    <w:rsid w:val="00CC2266"/>
    <w:rsid w:val="00CC49D7"/>
    <w:rsid w:val="00CC5209"/>
    <w:rsid w:val="00CC5F04"/>
    <w:rsid w:val="00CC6C70"/>
    <w:rsid w:val="00CD200E"/>
    <w:rsid w:val="00CD2A0D"/>
    <w:rsid w:val="00CD42EE"/>
    <w:rsid w:val="00CD6932"/>
    <w:rsid w:val="00CD6BED"/>
    <w:rsid w:val="00CE624A"/>
    <w:rsid w:val="00D05737"/>
    <w:rsid w:val="00D074DD"/>
    <w:rsid w:val="00D11D30"/>
    <w:rsid w:val="00D16FFD"/>
    <w:rsid w:val="00D20712"/>
    <w:rsid w:val="00D20EB4"/>
    <w:rsid w:val="00D24408"/>
    <w:rsid w:val="00D304E5"/>
    <w:rsid w:val="00D32EF7"/>
    <w:rsid w:val="00D33393"/>
    <w:rsid w:val="00D40195"/>
    <w:rsid w:val="00D40D87"/>
    <w:rsid w:val="00D44576"/>
    <w:rsid w:val="00D4506D"/>
    <w:rsid w:val="00D45B4F"/>
    <w:rsid w:val="00D4628B"/>
    <w:rsid w:val="00D46307"/>
    <w:rsid w:val="00D57743"/>
    <w:rsid w:val="00D6138B"/>
    <w:rsid w:val="00D61555"/>
    <w:rsid w:val="00D6554E"/>
    <w:rsid w:val="00D660EC"/>
    <w:rsid w:val="00D6702E"/>
    <w:rsid w:val="00D727DB"/>
    <w:rsid w:val="00D80989"/>
    <w:rsid w:val="00D813BA"/>
    <w:rsid w:val="00D83FEF"/>
    <w:rsid w:val="00D86561"/>
    <w:rsid w:val="00D94DCD"/>
    <w:rsid w:val="00D969BB"/>
    <w:rsid w:val="00DA10EA"/>
    <w:rsid w:val="00DA1E6E"/>
    <w:rsid w:val="00DA527E"/>
    <w:rsid w:val="00DC5FB0"/>
    <w:rsid w:val="00DC7EB9"/>
    <w:rsid w:val="00DD03E6"/>
    <w:rsid w:val="00DD0775"/>
    <w:rsid w:val="00DD15CC"/>
    <w:rsid w:val="00DD2137"/>
    <w:rsid w:val="00DD3ABE"/>
    <w:rsid w:val="00DD66A8"/>
    <w:rsid w:val="00DD66B1"/>
    <w:rsid w:val="00DE41D6"/>
    <w:rsid w:val="00DE7F37"/>
    <w:rsid w:val="00DF627D"/>
    <w:rsid w:val="00E00C1E"/>
    <w:rsid w:val="00E02CA4"/>
    <w:rsid w:val="00E0477C"/>
    <w:rsid w:val="00E07E86"/>
    <w:rsid w:val="00E1133D"/>
    <w:rsid w:val="00E15876"/>
    <w:rsid w:val="00E16D66"/>
    <w:rsid w:val="00E21BC8"/>
    <w:rsid w:val="00E265A9"/>
    <w:rsid w:val="00E33CC2"/>
    <w:rsid w:val="00E45CE7"/>
    <w:rsid w:val="00E475FB"/>
    <w:rsid w:val="00E47D3A"/>
    <w:rsid w:val="00E51D92"/>
    <w:rsid w:val="00E55AD5"/>
    <w:rsid w:val="00E621A1"/>
    <w:rsid w:val="00E6580F"/>
    <w:rsid w:val="00E67699"/>
    <w:rsid w:val="00E67DE2"/>
    <w:rsid w:val="00E70205"/>
    <w:rsid w:val="00E717B6"/>
    <w:rsid w:val="00E760C6"/>
    <w:rsid w:val="00E81316"/>
    <w:rsid w:val="00E83DBD"/>
    <w:rsid w:val="00E8738F"/>
    <w:rsid w:val="00E945C6"/>
    <w:rsid w:val="00E96779"/>
    <w:rsid w:val="00E96D55"/>
    <w:rsid w:val="00E974D1"/>
    <w:rsid w:val="00EA01FE"/>
    <w:rsid w:val="00EC3925"/>
    <w:rsid w:val="00EC771C"/>
    <w:rsid w:val="00ED286F"/>
    <w:rsid w:val="00EE0A3F"/>
    <w:rsid w:val="00EF2646"/>
    <w:rsid w:val="00EF653E"/>
    <w:rsid w:val="00EF6DFC"/>
    <w:rsid w:val="00F05CBA"/>
    <w:rsid w:val="00F1081A"/>
    <w:rsid w:val="00F1349A"/>
    <w:rsid w:val="00F214A3"/>
    <w:rsid w:val="00F300FA"/>
    <w:rsid w:val="00F30208"/>
    <w:rsid w:val="00F3121F"/>
    <w:rsid w:val="00F34F00"/>
    <w:rsid w:val="00F40D38"/>
    <w:rsid w:val="00F4327F"/>
    <w:rsid w:val="00F44A67"/>
    <w:rsid w:val="00F461B4"/>
    <w:rsid w:val="00F472C1"/>
    <w:rsid w:val="00F52EFA"/>
    <w:rsid w:val="00F5768C"/>
    <w:rsid w:val="00F57897"/>
    <w:rsid w:val="00F613AE"/>
    <w:rsid w:val="00F62674"/>
    <w:rsid w:val="00F637DF"/>
    <w:rsid w:val="00F66096"/>
    <w:rsid w:val="00F90FD3"/>
    <w:rsid w:val="00F93595"/>
    <w:rsid w:val="00FA2158"/>
    <w:rsid w:val="00FB7C19"/>
    <w:rsid w:val="00FC7ED6"/>
    <w:rsid w:val="00FD00C3"/>
    <w:rsid w:val="00FD5C5F"/>
    <w:rsid w:val="00FD75FE"/>
    <w:rsid w:val="00FE2DBD"/>
    <w:rsid w:val="00FE2F83"/>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F4486"/>
  <w15:chartTrackingRefBased/>
  <w15:docId w15:val="{BA9DA9A8-5F50-4ED1-BEDB-6BD6F0656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207020"/>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EC771C"/>
    <w:pPr>
      <w:suppressAutoHyphens/>
      <w:spacing w:before="480"/>
      <w:ind w:right="-397"/>
    </w:pPr>
    <w:rPr>
      <w:rFonts w:cs="Times New Roman"/>
      <w:b/>
      <w:sz w:val="44"/>
      <w:szCs w:val="14"/>
    </w:rPr>
  </w:style>
  <w:style w:type="character" w:customStyle="1" w:styleId="TitelZchn">
    <w:name w:val="Titel Zchn"/>
    <w:basedOn w:val="Absatz-Standardschriftart"/>
    <w:link w:val="Titel"/>
    <w:rsid w:val="00EC771C"/>
    <w:rPr>
      <w:rFonts w:cs="Times New Roman"/>
      <w:b/>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semiHidden/>
    <w:unhideWhenUsed/>
    <w:lock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semiHidden/>
    <w:unhideWhenUsed/>
    <w:locked/>
    <w:rsid w:val="00263F44"/>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5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customStyle="1" w:styleId="NichtaufgelsteErwhnung1">
    <w:name w:val="Nicht aufgelöste Erwähnung1"/>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 w:type="character" w:styleId="Kommentarzeichen">
    <w:name w:val="annotation reference"/>
    <w:basedOn w:val="Absatz-Standardschriftart"/>
    <w:uiPriority w:val="99"/>
    <w:semiHidden/>
    <w:unhideWhenUsed/>
    <w:locked/>
    <w:rsid w:val="00880A5B"/>
    <w:rPr>
      <w:sz w:val="16"/>
      <w:szCs w:val="16"/>
    </w:rPr>
  </w:style>
  <w:style w:type="paragraph" w:styleId="Kommentartext">
    <w:name w:val="annotation text"/>
    <w:basedOn w:val="Standard"/>
    <w:link w:val="KommentartextZchn"/>
    <w:uiPriority w:val="99"/>
    <w:semiHidden/>
    <w:unhideWhenUsed/>
    <w:locked/>
    <w:rsid w:val="00880A5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0A5B"/>
    <w:rPr>
      <w:sz w:val="20"/>
      <w:szCs w:val="20"/>
    </w:rPr>
  </w:style>
  <w:style w:type="paragraph" w:styleId="Kommentarthema">
    <w:name w:val="annotation subject"/>
    <w:basedOn w:val="Kommentartext"/>
    <w:next w:val="Kommentartext"/>
    <w:link w:val="KommentarthemaZchn"/>
    <w:uiPriority w:val="99"/>
    <w:semiHidden/>
    <w:unhideWhenUsed/>
    <w:locked/>
    <w:rsid w:val="00880A5B"/>
    <w:rPr>
      <w:b/>
      <w:bCs/>
    </w:rPr>
  </w:style>
  <w:style w:type="character" w:customStyle="1" w:styleId="KommentarthemaZchn">
    <w:name w:val="Kommentarthema Zchn"/>
    <w:basedOn w:val="KommentartextZchn"/>
    <w:link w:val="Kommentarthema"/>
    <w:uiPriority w:val="99"/>
    <w:semiHidden/>
    <w:rsid w:val="00880A5B"/>
    <w:rPr>
      <w:b/>
      <w:bCs/>
      <w:sz w:val="20"/>
      <w:szCs w:val="20"/>
    </w:rPr>
  </w:style>
  <w:style w:type="paragraph" w:styleId="Sprechblasentext">
    <w:name w:val="Balloon Text"/>
    <w:basedOn w:val="Standard"/>
    <w:link w:val="SprechblasentextZchn"/>
    <w:uiPriority w:val="99"/>
    <w:semiHidden/>
    <w:unhideWhenUsed/>
    <w:locked/>
    <w:rsid w:val="00880A5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80A5B"/>
    <w:rPr>
      <w:rFonts w:ascii="Segoe UI" w:hAnsi="Segoe UI" w:cs="Segoe UI"/>
      <w:sz w:val="18"/>
      <w:szCs w:val="18"/>
    </w:rPr>
  </w:style>
  <w:style w:type="paragraph" w:styleId="berarbeitung">
    <w:name w:val="Revision"/>
    <w:hidden/>
    <w:uiPriority w:val="99"/>
    <w:semiHidden/>
    <w:rsid w:val="000F48B5"/>
    <w:pPr>
      <w:spacing w:line="240" w:lineRule="auto"/>
    </w:pPr>
  </w:style>
  <w:style w:type="character" w:styleId="NichtaufgelsteErwhnung">
    <w:name w:val="Unresolved Mention"/>
    <w:basedOn w:val="Absatz-Standardschriftart"/>
    <w:uiPriority w:val="99"/>
    <w:semiHidden/>
    <w:unhideWhenUsed/>
    <w:rsid w:val="00203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zblesen.de/bibliothek/H047321-dunkles+gold++roma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eltz.de/produkt_detailansicht/46103-dunkles-gold-im-unterricht.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s.wikimedia.org/wiki/File:Miriam_Pressler_2012.jp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reativecommons.org/licenses/by-sa/3.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de.wikipedia.org/wiki/Mirjam_Pressle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Downloads\2025-05-15-dokumentvorlage-kurz-word.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0E967BD0-B466-4871-8F51-299D7EC3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C:\Users\Katrin\Downloads\2025-05-15-dokumentvorlage-kurz-word.dotx</Template>
  <TotalTime>0</TotalTime>
  <Pages>7</Pages>
  <Words>2241</Words>
  <Characters>14124</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Vorlage für Unterrichtsausarbeitungen</vt:lpstr>
    </vt:vector>
  </TitlesOfParts>
  <Company/>
  <LinksUpToDate>false</LinksUpToDate>
  <CharactersWithSpaces>16333</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SB</dc:creator>
  <cp:keywords>Dokumentenerstellung, Unterrichtsentwurf, ZSL, Unterrichtsentwürfe erstellen; Unterrichtsausarbeitungen</cp:keywords>
  <dc:description>Vorlage mit ZSL-Formatvorlagen und Schnelltabellen</dc:description>
  <cp:lastModifiedBy>zik</cp:lastModifiedBy>
  <cp:revision>2</cp:revision>
  <cp:lastPrinted>2024-01-30T21:00:00Z</cp:lastPrinted>
  <dcterms:created xsi:type="dcterms:W3CDTF">2026-03-17T21:33:00Z</dcterms:created>
  <dcterms:modified xsi:type="dcterms:W3CDTF">2026-03-17T21:33:00Z</dcterms:modified>
  <cp:category>Vorlage für Unterrichtsausarbeitungen</cp:category>
  <cp:contentStatus>geprüfte Vorlage</cp:contentStatus>
</cp:coreProperties>
</file>