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1.4.2 Reden – Horst </w:t>
      </w:r>
      <w:r>
        <w:rPr>
          <w:rFonts w:ascii="Liberation Serif" w:hAnsi="Liberation Serif"/>
          <w:b/>
          <w:bCs/>
          <w:i w:val="false"/>
          <w:iCs w:val="false"/>
          <w:sz w:val="32"/>
          <w:szCs w:val="32"/>
        </w:rPr>
        <w:t>Köhler: Bildung für alle (2006)</w:t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jc w:val="both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highlight w:val="white"/>
              </w:rPr>
              <w:t xml:space="preserve">Der Text ist kostenlos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highlight w:val="white"/>
              </w:rPr>
              <w:t xml:space="preserve">abrufbar unter: </w:t>
            </w:r>
          </w:p>
          <w:p>
            <w:pPr>
              <w:pStyle w:val="Normal"/>
              <w:bidi w:val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highlight w:val="white"/>
              </w:rPr>
            </w:pPr>
            <w:hyperlink r:id="rId2">
              <w:r>
                <w:rPr>
                  <w:rStyle w:val="Internetlink"/>
                  <w:b w:val="false"/>
                  <w:bCs w:val="false"/>
                  <w:i w:val="false"/>
                  <w:iCs w:val="false"/>
                  <w:sz w:val="24"/>
                  <w:szCs w:val="24"/>
                  <w:highlight w:val="white"/>
                </w:rPr>
                <w:t>http://www.bundespraesident.de/SharedDocs/Reden/DE/Horst-Koehler/Reden/2006/09/20060921_Rede.html</w:t>
              </w:r>
            </w:hyperlink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white"/>
              </w:rPr>
              <w:t xml:space="preserve"> (letzter Zugriff am 12.1.2018)</w:t>
            </w:r>
          </w:p>
        </w:tc>
      </w:tr>
    </w:tbl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b w:val="false"/>
          <w:bCs w:val="false"/>
          <w:i w:val="false"/>
          <w:iCs w:val="false"/>
          <w:sz w:val="24"/>
          <w:szCs w:val="24"/>
          <w:highlight w:val="white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Markiere </w:t>
      </w:r>
      <w:r>
        <w:rPr>
          <w:b w:val="false"/>
          <w:bCs w:val="false"/>
          <w:i w:val="false"/>
          <w:iCs w:val="false"/>
          <w:sz w:val="24"/>
          <w:szCs w:val="24"/>
        </w:rPr>
        <w:t>am Rand</w:t>
      </w:r>
      <w:r>
        <w:rPr>
          <w:b w:val="false"/>
          <w:bCs w:val="false"/>
          <w:i w:val="false"/>
          <w:iCs w:val="false"/>
          <w:sz w:val="24"/>
          <w:szCs w:val="24"/>
        </w:rPr>
        <w:t>, an welchen Stellen die Darstellungs-, an welchen die Appellfunktion der Sprache (K. Bühler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) </w:t>
      </w:r>
      <w:r>
        <w:rPr>
          <w:b w:val="false"/>
          <w:bCs w:val="false"/>
          <w:i w:val="false"/>
          <w:iCs w:val="false"/>
          <w:sz w:val="24"/>
          <w:szCs w:val="24"/>
        </w:rPr>
        <w:t>bzw. Appell</w:t>
      </w:r>
      <w:r>
        <w:rPr>
          <w:b w:val="false"/>
          <w:bCs w:val="false"/>
          <w:i w:val="false"/>
          <w:iCs w:val="false"/>
          <w:sz w:val="24"/>
          <w:szCs w:val="24"/>
        </w:rPr>
        <w:t>seite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, Sachebene (F. Schulz von Thun)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überwiegt. An welchen Stellen tritt die Ausdrucksfunktion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(Selbstkundgabe)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in den Vordergrund (wenngleich sie nicht allein seine Botschaft prägt)?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Untersuche, mit welchen sprachliche</w:t>
      </w:r>
      <w:r>
        <w:rPr>
          <w:b w:val="false"/>
          <w:bCs w:val="false"/>
          <w:i w:val="false"/>
          <w:iCs w:val="false"/>
          <w:sz w:val="24"/>
          <w:szCs w:val="24"/>
        </w:rPr>
        <w:t>n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Mitteln Köhler die Appellseite seiner Botschaft unterstützt.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Was signalisiert Horst Köhler der Zuhörerschaft durch seine Rede auf der Beziehungsebene seiner sprachlichen Botschaft (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F.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Schulz von Thun)? Durch welche sprachlichen Mittel gelingt dies?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Für welche der Passagen des Textes treffen folgende Illokutionen zu?* Mache Zeilenangaben!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appellieren, (</w:t>
      </w:r>
      <w:r>
        <w:rPr>
          <w:b w:val="false"/>
          <w:bCs w:val="false"/>
          <w:i w:val="false"/>
          <w:iCs w:val="false"/>
          <w:sz w:val="24"/>
          <w:szCs w:val="24"/>
        </w:rPr>
        <w:t>auf</w:t>
      </w:r>
      <w:r>
        <w:rPr>
          <w:b w:val="false"/>
          <w:bCs w:val="false"/>
          <w:i w:val="false"/>
          <w:iCs w:val="false"/>
          <w:sz w:val="24"/>
          <w:szCs w:val="24"/>
        </w:rPr>
        <w:t>)</w:t>
      </w:r>
      <w:r>
        <w:rPr>
          <w:b w:val="false"/>
          <w:bCs w:val="false"/>
          <w:i w:val="false"/>
          <w:iCs w:val="false"/>
          <w:sz w:val="24"/>
          <w:szCs w:val="24"/>
        </w:rPr>
        <w:t>fordern</w:t>
        <w:tab/>
        <w:tab/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aufmerksam machen / hinweisen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begründen / </w:t>
      </w:r>
      <w:r>
        <w:rPr>
          <w:b w:val="false"/>
          <w:bCs w:val="false"/>
          <w:i w:val="false"/>
          <w:iCs w:val="false"/>
          <w:sz w:val="24"/>
          <w:szCs w:val="24"/>
        </w:rPr>
        <w:t>für etwas argumentieren</w:t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behaupten / eine These aufstellen</w:t>
      </w:r>
    </w:p>
    <w:p>
      <w:pPr>
        <w:pStyle w:val="Normal"/>
        <w:ind w:left="709" w:right="0" w:hanging="0"/>
        <w:jc w:val="both"/>
        <w:rPr/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einleiten / überleiten / abschließen</w:t>
        <w:tab/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gegenüberstellen 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problematisieren / kritisieren </w:t>
        <w:tab/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seine Sorge / seinen Ärger usw. ausdrücken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versprechen</w:t>
        <w:tab/>
        <w:tab/>
        <w:tab/>
        <w:tab/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zurückführen auf / als Grund angeben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709" w:right="0" w:hanging="0"/>
        <w:jc w:val="both"/>
        <w:rPr/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* Du kannst auch weitere Verben verwenden, die hier nicht aufgeführt sind </w:t>
      </w:r>
      <w:r>
        <w:rPr>
          <w:b w:val="false"/>
          <w:bCs w:val="false"/>
          <w:i w:val="false"/>
          <w:iCs w:val="false"/>
          <w:sz w:val="20"/>
          <w:szCs w:val="20"/>
        </w:rPr>
        <w:t>(siehe auch „Liste wichtiger Illokutionsverben ...“)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Verfasse nun ein Resümee der Rede, in dem du die gefundenen Illokutionsverben einsetzt und jeweils </w:t>
      </w:r>
      <w:r>
        <w:rPr>
          <w:b w:val="false"/>
          <w:bCs w:val="false"/>
          <w:i w:val="false"/>
          <w:iCs w:val="false"/>
          <w:sz w:val="24"/>
          <w:szCs w:val="24"/>
        </w:rPr>
        <w:t>mit eigenen Worten i</w:t>
      </w:r>
      <w:r>
        <w:rPr>
          <w:b w:val="false"/>
          <w:bCs w:val="false"/>
          <w:i w:val="false"/>
          <w:iCs w:val="false"/>
          <w:sz w:val="24"/>
          <w:szCs w:val="24"/>
        </w:rPr>
        <w:t>hren Inhalt (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wozu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aufgefordert wird,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was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versprochen wird usw.) ergänzt. (Man nennt diesen Inhalt nach J. Searle auch „propositionalen Gehalt“.)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Ein Fall von Perlokution: Zur beabsichtigten Wirkung der Rede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Folgende Verben bezeichnen das tatsächliche </w:t>
      </w:r>
      <w:r>
        <w:rPr>
          <w:b w:val="false"/>
          <w:bCs w:val="false"/>
          <w:i/>
          <w:iCs/>
          <w:sz w:val="20"/>
          <w:szCs w:val="20"/>
        </w:rPr>
        <w:t xml:space="preserve">Ergebnis </w:t>
      </w:r>
      <w:r>
        <w:rPr>
          <w:b w:val="false"/>
          <w:bCs w:val="false"/>
          <w:i w:val="false"/>
          <w:iCs w:val="false"/>
          <w:sz w:val="20"/>
          <w:szCs w:val="20"/>
        </w:rPr>
        <w:t>bzw. die tatsächliche</w:t>
      </w:r>
      <w:r>
        <w:rPr>
          <w:b w:val="false"/>
          <w:bCs w:val="false"/>
          <w:i/>
          <w:iCs/>
          <w:sz w:val="20"/>
          <w:szCs w:val="20"/>
        </w:rPr>
        <w:t xml:space="preserve"> Wirkung </w:t>
      </w:r>
      <w:r>
        <w:rPr>
          <w:b w:val="false"/>
          <w:bCs w:val="false"/>
          <w:i/>
          <w:iCs/>
          <w:sz w:val="20"/>
          <w:szCs w:val="20"/>
        </w:rPr>
        <w:t>von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Sprechakten </w:t>
      </w:r>
      <w:r>
        <w:rPr>
          <w:b w:val="false"/>
          <w:bCs w:val="false"/>
          <w:i w:val="false"/>
          <w:iCs w:val="false"/>
          <w:sz w:val="20"/>
          <w:szCs w:val="20"/>
        </w:rPr>
        <w:t>(„Perlokutionen“ nach J. L. Austin)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. Man kann daher, wenn man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bei der Rede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nicht dabei war, nicht wissen, wie weit diese Verben die Wirkung bei Köhlers Rede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(und das bei allen Zuhörern!)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wirklich beschreiben. Wohl aber kann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man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Köhler unterstellen – d.h. seine Rede so interpretieren –, dass er die genannten Wirkungen erzielen </w:t>
      </w:r>
      <w:r>
        <w:rPr>
          <w:b w:val="false"/>
          <w:bCs w:val="false"/>
          <w:i/>
          <w:iCs/>
          <w:sz w:val="20"/>
          <w:szCs w:val="20"/>
        </w:rPr>
        <w:t>w</w:t>
      </w:r>
      <w:r>
        <w:rPr>
          <w:b w:val="false"/>
          <w:bCs w:val="false"/>
          <w:i/>
          <w:iCs/>
          <w:sz w:val="20"/>
          <w:szCs w:val="20"/>
        </w:rPr>
        <w:t>o</w:t>
      </w:r>
      <w:r>
        <w:rPr>
          <w:b w:val="false"/>
          <w:bCs w:val="false"/>
          <w:i/>
          <w:iCs/>
          <w:sz w:val="20"/>
          <w:szCs w:val="20"/>
        </w:rPr>
        <w:t>ll</w:t>
      </w:r>
      <w:r>
        <w:rPr>
          <w:b w:val="false"/>
          <w:bCs w:val="false"/>
          <w:i/>
          <w:iCs/>
          <w:sz w:val="20"/>
          <w:szCs w:val="20"/>
        </w:rPr>
        <w:t>te</w:t>
      </w:r>
      <w:r>
        <w:rPr>
          <w:b w:val="false"/>
          <w:bCs w:val="false"/>
          <w:i w:val="false"/>
          <w:iCs w:val="false"/>
          <w:sz w:val="20"/>
          <w:szCs w:val="20"/>
        </w:rPr>
        <w:t>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Welche der folgenden Perlokutionen sind wahrscheinlich beabsichtigt? </w:t>
      </w:r>
      <w:r>
        <w:rPr>
          <w:b w:val="false"/>
          <w:bCs w:val="false"/>
          <w:i w:val="false"/>
          <w:iCs w:val="false"/>
          <w:sz w:val="24"/>
          <w:szCs w:val="24"/>
        </w:rPr>
        <w:t>Du kannst weitere ergänzen. Führe Stellenbelege an.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Z.B.: Mit seiner Aufzählung ...</w:t>
      </w:r>
      <w:r>
        <w:rPr>
          <w:b w:val="false"/>
          <w:bCs w:val="false"/>
          <w:i/>
          <w:iCs/>
          <w:sz w:val="24"/>
          <w:szCs w:val="24"/>
        </w:rPr>
        <w:t xml:space="preserve"> will er… / Dadurch, dass Köhler …, möchte er:  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aufrütteln / alarmieren / </w:t>
      </w:r>
      <w:r>
        <w:rPr>
          <w:b w:val="false"/>
          <w:bCs w:val="false"/>
          <w:i w:val="false"/>
          <w:iCs w:val="false"/>
          <w:sz w:val="24"/>
          <w:szCs w:val="24"/>
        </w:rPr>
        <w:t>Problem</w:t>
      </w:r>
      <w:r>
        <w:rPr>
          <w:b w:val="false"/>
          <w:bCs w:val="false"/>
          <w:i w:val="false"/>
          <w:iCs w:val="false"/>
          <w:sz w:val="24"/>
          <w:szCs w:val="24"/>
        </w:rPr>
        <w:t>bewusstsein wecken</w:t>
        <w:tab/>
        <w:tab/>
      </w: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Mut machen </w:t>
      </w:r>
    </w:p>
    <w:p>
      <w:pPr>
        <w:pStyle w:val="Normal"/>
        <w:ind w:left="709" w:right="0" w:hanging="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i w:val="false"/>
          <w:iCs w:val="false"/>
          <w:sz w:val="24"/>
          <w:szCs w:val="24"/>
        </w:rPr>
        <w:t xml:space="preserve">□ </w:t>
      </w:r>
      <w:r>
        <w:rPr>
          <w:b w:val="false"/>
          <w:bCs w:val="false"/>
          <w:i w:val="false"/>
          <w:iCs w:val="false"/>
          <w:sz w:val="24"/>
          <w:szCs w:val="24"/>
        </w:rPr>
        <w:t>das Bewusstsein gemeinsamer Werte und Verantwortung wecken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i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i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i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i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i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i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i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i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b/>
      <w:bCs/>
      <w:i w:val="false"/>
      <w:iCs/>
      <w:sz w:val="32"/>
      <w:szCs w:val="28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Nummerierungszeichen">
    <w:name w:val="Nummerierungszeichen"/>
    <w:qFormat/>
    <w:rPr>
      <w:i w:val="false"/>
      <w:iCs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ndespraesident.de/SharedDocs/Reden/DE/Horst-Koehler/Reden/2006/09/20060921_Rede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339</Words>
  <Characters>2118</Characters>
  <CharactersWithSpaces>2452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2018-02-17T17:41:29Z</dcterms:created>
  <dc:creator/>
  <dc:description/>
  <dc:language>de-DE</dc:language>
  <cp:lastModifiedBy/>
  <dcterms:modified xsi:type="dcterms:W3CDTF">2018-02-18T08:12:35Z</dcterms:modified>
  <cp:revision>3</cp:revision>
  <dc:subject/>
  <dc:title/>
</cp:coreProperties>
</file>