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5647" w14:textId="77777777" w:rsidR="00C51F3A" w:rsidRDefault="00C51F3A" w:rsidP="00F05E8D">
      <w:pPr>
        <w:rPr>
          <w:rFonts w:asciiTheme="majorHAnsi" w:hAnsiTheme="majorHAnsi"/>
        </w:rPr>
      </w:pPr>
    </w:p>
    <w:p w14:paraId="15D4B125" w14:textId="08405918" w:rsidR="00C51F3A" w:rsidRPr="00290D51" w:rsidRDefault="00290D51" w:rsidP="00F05E8D">
      <w:pPr>
        <w:rPr>
          <w:rFonts w:asciiTheme="majorHAnsi" w:hAnsiTheme="majorHAnsi"/>
          <w:b/>
        </w:rPr>
      </w:pPr>
      <w:bookmarkStart w:id="0" w:name="_GoBack"/>
      <w:bookmarkEnd w:id="0"/>
      <w:r w:rsidRPr="00290D51">
        <w:rPr>
          <w:rFonts w:asciiTheme="majorHAnsi" w:hAnsiTheme="majorHAnsi"/>
          <w:b/>
        </w:rPr>
        <w:t xml:space="preserve">Die Einflussfaktoren im Vergleich </w:t>
      </w:r>
    </w:p>
    <w:p w14:paraId="199210DF" w14:textId="77777777" w:rsidR="00290D51" w:rsidRDefault="00290D51" w:rsidP="00F05E8D">
      <w:pPr>
        <w:rPr>
          <w:rFonts w:asciiTheme="majorHAnsi" w:hAnsiTheme="majorHAnsi"/>
        </w:rPr>
      </w:pPr>
    </w:p>
    <w:p w14:paraId="12098BDC" w14:textId="77777777" w:rsidR="002E338B" w:rsidRPr="002E338B" w:rsidRDefault="00290D51" w:rsidP="00F05E8D">
      <w:pPr>
        <w:rPr>
          <w:rFonts w:asciiTheme="majorHAnsi" w:hAnsiTheme="majorHAnsi"/>
        </w:rPr>
      </w:pPr>
      <w:r w:rsidRPr="002E338B">
        <w:rPr>
          <w:rFonts w:asciiTheme="majorHAnsi" w:hAnsiTheme="majorHAnsi"/>
        </w:rPr>
        <w:t xml:space="preserve">Hattie ordnet die untersuchten Einflussfaktoren sechs Domänen zu: </w:t>
      </w:r>
    </w:p>
    <w:p w14:paraId="27414D60" w14:textId="574A95C2" w:rsidR="002E338B" w:rsidRDefault="002E338B" w:rsidP="002E338B">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tbl>
      <w:tblPr>
        <w:tblStyle w:val="Tabellenraster"/>
        <w:tblW w:w="0" w:type="auto"/>
        <w:tblLook w:val="04A0" w:firstRow="1" w:lastRow="0" w:firstColumn="1" w:lastColumn="0" w:noHBand="0" w:noVBand="1"/>
      </w:tblPr>
      <w:tblGrid>
        <w:gridCol w:w="1534"/>
        <w:gridCol w:w="1534"/>
        <w:gridCol w:w="1534"/>
        <w:gridCol w:w="1534"/>
        <w:gridCol w:w="1535"/>
        <w:gridCol w:w="1535"/>
      </w:tblGrid>
      <w:tr w:rsidR="002E338B" w14:paraId="01E14CAA" w14:textId="77777777" w:rsidTr="002E338B">
        <w:tc>
          <w:tcPr>
            <w:tcW w:w="1534" w:type="dxa"/>
          </w:tcPr>
          <w:p w14:paraId="29FED82B" w14:textId="63A7D3C8" w:rsidR="002E338B" w:rsidRDefault="002E338B" w:rsidP="002E338B">
            <w:pPr>
              <w:spacing w:before="60" w:after="60" w:line="360" w:lineRule="auto"/>
              <w:jc w:val="center"/>
              <w:rPr>
                <w:rFonts w:asciiTheme="majorHAnsi" w:hAnsiTheme="majorHAnsi"/>
                <w:sz w:val="22"/>
                <w:szCs w:val="22"/>
              </w:rPr>
            </w:pPr>
            <w:r w:rsidRPr="002E338B">
              <w:rPr>
                <w:rFonts w:asciiTheme="majorHAnsi" w:hAnsiTheme="majorHAnsi"/>
                <w:sz w:val="22"/>
                <w:szCs w:val="22"/>
              </w:rPr>
              <w:t>Curricula</w:t>
            </w:r>
          </w:p>
        </w:tc>
        <w:tc>
          <w:tcPr>
            <w:tcW w:w="1534" w:type="dxa"/>
          </w:tcPr>
          <w:p w14:paraId="30B7A0B2" w14:textId="4FD8DEB5" w:rsidR="002E338B" w:rsidRDefault="002E338B" w:rsidP="002E338B">
            <w:pPr>
              <w:spacing w:before="60" w:after="60" w:line="360" w:lineRule="auto"/>
              <w:jc w:val="center"/>
              <w:rPr>
                <w:rFonts w:asciiTheme="majorHAnsi" w:hAnsiTheme="majorHAnsi"/>
                <w:sz w:val="22"/>
                <w:szCs w:val="22"/>
              </w:rPr>
            </w:pPr>
            <w:r w:rsidRPr="002E338B">
              <w:rPr>
                <w:rFonts w:asciiTheme="majorHAnsi" w:hAnsiTheme="majorHAnsi"/>
                <w:sz w:val="22"/>
                <w:szCs w:val="22"/>
              </w:rPr>
              <w:t>Elternhaus</w:t>
            </w:r>
          </w:p>
        </w:tc>
        <w:tc>
          <w:tcPr>
            <w:tcW w:w="1534" w:type="dxa"/>
          </w:tcPr>
          <w:p w14:paraId="0F9C938D" w14:textId="0C4DB36B" w:rsidR="002E338B" w:rsidRDefault="002E338B" w:rsidP="002E338B">
            <w:pPr>
              <w:spacing w:before="60" w:after="60" w:line="360" w:lineRule="auto"/>
              <w:jc w:val="center"/>
              <w:rPr>
                <w:rFonts w:asciiTheme="majorHAnsi" w:hAnsiTheme="majorHAnsi"/>
                <w:sz w:val="22"/>
                <w:szCs w:val="22"/>
              </w:rPr>
            </w:pPr>
            <w:r w:rsidRPr="002E338B">
              <w:rPr>
                <w:rFonts w:asciiTheme="majorHAnsi" w:hAnsiTheme="majorHAnsi"/>
                <w:sz w:val="22"/>
                <w:szCs w:val="22"/>
              </w:rPr>
              <w:t>Lehrperson</w:t>
            </w:r>
          </w:p>
        </w:tc>
        <w:tc>
          <w:tcPr>
            <w:tcW w:w="1534" w:type="dxa"/>
          </w:tcPr>
          <w:p w14:paraId="04D53542" w14:textId="7B38D627" w:rsidR="002E338B" w:rsidRDefault="002E338B" w:rsidP="002E338B">
            <w:pPr>
              <w:spacing w:before="60" w:after="60" w:line="360" w:lineRule="auto"/>
              <w:jc w:val="center"/>
              <w:rPr>
                <w:rFonts w:asciiTheme="majorHAnsi" w:hAnsiTheme="majorHAnsi"/>
                <w:sz w:val="22"/>
                <w:szCs w:val="22"/>
              </w:rPr>
            </w:pPr>
            <w:r w:rsidRPr="002E338B">
              <w:rPr>
                <w:rFonts w:asciiTheme="majorHAnsi" w:hAnsiTheme="majorHAnsi"/>
                <w:sz w:val="22"/>
                <w:szCs w:val="22"/>
              </w:rPr>
              <w:t>Lernende</w:t>
            </w:r>
          </w:p>
        </w:tc>
        <w:tc>
          <w:tcPr>
            <w:tcW w:w="1535" w:type="dxa"/>
          </w:tcPr>
          <w:p w14:paraId="0268DED3" w14:textId="5E438EF6" w:rsidR="002E338B" w:rsidRDefault="002E338B" w:rsidP="002E338B">
            <w:pPr>
              <w:spacing w:before="60" w:after="60" w:line="360" w:lineRule="auto"/>
              <w:jc w:val="center"/>
              <w:rPr>
                <w:rFonts w:asciiTheme="majorHAnsi" w:hAnsiTheme="majorHAnsi"/>
                <w:sz w:val="22"/>
                <w:szCs w:val="22"/>
              </w:rPr>
            </w:pPr>
            <w:r w:rsidRPr="002E338B">
              <w:rPr>
                <w:rFonts w:asciiTheme="majorHAnsi" w:hAnsiTheme="majorHAnsi"/>
                <w:sz w:val="22"/>
                <w:szCs w:val="22"/>
              </w:rPr>
              <w:t>Schule</w:t>
            </w:r>
          </w:p>
        </w:tc>
        <w:tc>
          <w:tcPr>
            <w:tcW w:w="1535" w:type="dxa"/>
          </w:tcPr>
          <w:p w14:paraId="0C3900D3" w14:textId="63601568" w:rsidR="002E338B" w:rsidRDefault="002E338B" w:rsidP="002E338B">
            <w:pPr>
              <w:spacing w:before="60" w:after="60" w:line="360" w:lineRule="auto"/>
              <w:jc w:val="center"/>
              <w:rPr>
                <w:rFonts w:asciiTheme="majorHAnsi" w:hAnsiTheme="majorHAnsi"/>
                <w:sz w:val="22"/>
                <w:szCs w:val="22"/>
              </w:rPr>
            </w:pPr>
            <w:r w:rsidRPr="002E338B">
              <w:rPr>
                <w:rFonts w:asciiTheme="majorHAnsi" w:hAnsiTheme="majorHAnsi"/>
                <w:sz w:val="22"/>
                <w:szCs w:val="22"/>
              </w:rPr>
              <w:t>Unterrichten</w:t>
            </w:r>
          </w:p>
        </w:tc>
      </w:tr>
    </w:tbl>
    <w:p w14:paraId="16470222" w14:textId="77777777" w:rsidR="002E338B" w:rsidRDefault="002E338B" w:rsidP="002E338B">
      <w:pPr>
        <w:rPr>
          <w:rFonts w:asciiTheme="majorHAnsi" w:hAnsiTheme="majorHAnsi"/>
          <w:sz w:val="22"/>
          <w:szCs w:val="22"/>
        </w:rPr>
      </w:pPr>
    </w:p>
    <w:p w14:paraId="1B9C99A2" w14:textId="6B849310" w:rsidR="00F05E8D" w:rsidRPr="002E338B" w:rsidRDefault="00290D51" w:rsidP="00F05E8D">
      <w:pPr>
        <w:rPr>
          <w:rFonts w:asciiTheme="majorHAnsi" w:hAnsiTheme="majorHAnsi"/>
        </w:rPr>
      </w:pPr>
      <w:r w:rsidRPr="002E338B">
        <w:rPr>
          <w:rFonts w:asciiTheme="majorHAnsi" w:hAnsiTheme="majorHAnsi"/>
        </w:rPr>
        <w:t xml:space="preserve">Im Rahmen einer fachspezifischen Fortbildung  bzw. im Rahmen der Unterrichtsentwicklung ist die Domäne „Unterrichten“ </w:t>
      </w:r>
      <w:r w:rsidR="002E338B" w:rsidRPr="002E338B">
        <w:rPr>
          <w:rFonts w:asciiTheme="majorHAnsi" w:hAnsiTheme="majorHAnsi"/>
        </w:rPr>
        <w:t>vorrangig</w:t>
      </w:r>
      <w:r w:rsidRPr="002E338B">
        <w:rPr>
          <w:rFonts w:asciiTheme="majorHAnsi" w:hAnsiTheme="majorHAnsi"/>
        </w:rPr>
        <w:t>.</w:t>
      </w:r>
      <w:r w:rsidR="002E338B" w:rsidRPr="002E338B">
        <w:rPr>
          <w:rFonts w:asciiTheme="majorHAnsi" w:hAnsiTheme="majorHAnsi"/>
        </w:rPr>
        <w:t xml:space="preserve"> Die unter dieser Domäne zusammengefassten Einflussfaktoren sind auch für </w:t>
      </w:r>
      <w:r w:rsidR="00F05E8D" w:rsidRPr="002E338B">
        <w:rPr>
          <w:rFonts w:asciiTheme="majorHAnsi" w:hAnsiTheme="majorHAnsi"/>
        </w:rPr>
        <w:t xml:space="preserve">die </w:t>
      </w:r>
      <w:r w:rsidRPr="002E338B">
        <w:rPr>
          <w:rFonts w:asciiTheme="majorHAnsi" w:hAnsiTheme="majorHAnsi"/>
        </w:rPr>
        <w:t>(Deutsch-)</w:t>
      </w:r>
      <w:r w:rsidR="002E338B" w:rsidRPr="002E338B">
        <w:rPr>
          <w:rFonts w:asciiTheme="majorHAnsi" w:hAnsiTheme="majorHAnsi"/>
        </w:rPr>
        <w:t>Fachschaften bei der gemeinsamen</w:t>
      </w:r>
      <w:r w:rsidR="00F05E8D" w:rsidRPr="002E338B">
        <w:rPr>
          <w:rFonts w:asciiTheme="majorHAnsi" w:hAnsiTheme="majorHAnsi"/>
        </w:rPr>
        <w:t xml:space="preserve"> </w:t>
      </w:r>
      <w:r w:rsidR="002E338B" w:rsidRPr="002E338B">
        <w:rPr>
          <w:rFonts w:asciiTheme="majorHAnsi" w:hAnsiTheme="majorHAnsi"/>
        </w:rPr>
        <w:t>K</w:t>
      </w:r>
      <w:r w:rsidR="00F05E8D" w:rsidRPr="002E338B">
        <w:rPr>
          <w:rFonts w:asciiTheme="majorHAnsi" w:hAnsiTheme="majorHAnsi"/>
        </w:rPr>
        <w:t>onzept</w:t>
      </w:r>
      <w:r w:rsidR="002E338B" w:rsidRPr="002E338B">
        <w:rPr>
          <w:rFonts w:asciiTheme="majorHAnsi" w:hAnsiTheme="majorHAnsi"/>
        </w:rPr>
        <w:t xml:space="preserve">ion der Vertiefungsstunde relevant. Die wirksamsten Einflussfaktorenaus aus der Domäne „Unterrichten“ sind in den TOP 20 die folgenden: </w:t>
      </w:r>
      <w:r w:rsidR="00F05E8D" w:rsidRPr="002E338B">
        <w:rPr>
          <w:rFonts w:asciiTheme="majorHAnsi" w:hAnsiTheme="majorHAnsi"/>
        </w:rPr>
        <w:t xml:space="preserve"> </w:t>
      </w:r>
    </w:p>
    <w:p w14:paraId="2AC41307" w14:textId="77777777" w:rsidR="00290D51" w:rsidRDefault="00290D51" w:rsidP="00F05E8D">
      <w:pPr>
        <w:rPr>
          <w:rFonts w:asciiTheme="majorHAnsi" w:hAnsiTheme="majorHAnsi"/>
        </w:rPr>
      </w:pPr>
    </w:p>
    <w:p w14:paraId="61BE9060" w14:textId="77777777" w:rsidR="00F05E8D" w:rsidRPr="00290D51" w:rsidRDefault="00F05E8D" w:rsidP="00290D51">
      <w:pPr>
        <w:pStyle w:val="Listenabsatz"/>
        <w:numPr>
          <w:ilvl w:val="0"/>
          <w:numId w:val="1"/>
        </w:numPr>
        <w:rPr>
          <w:rFonts w:asciiTheme="majorHAnsi" w:hAnsiTheme="majorHAnsi"/>
        </w:rPr>
      </w:pPr>
      <w:r w:rsidRPr="00290D51">
        <w:rPr>
          <w:rFonts w:asciiTheme="majorHAnsi" w:hAnsiTheme="majorHAnsi"/>
        </w:rPr>
        <w:t>Reaktion auf Intervention (Rang 3 in der Liste der wirksamsten Einflussfaktoren)</w:t>
      </w:r>
    </w:p>
    <w:p w14:paraId="66B59960"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Formative Evaluation (Rang 4)</w:t>
      </w:r>
      <w:r>
        <w:rPr>
          <w:rFonts w:asciiTheme="majorHAnsi" w:hAnsiTheme="majorHAnsi"/>
        </w:rPr>
        <w:t>, d</w:t>
      </w:r>
      <w:r>
        <w:rPr>
          <w:rStyle w:val="Funotenzeichen"/>
          <w:rFonts w:asciiTheme="majorHAnsi" w:hAnsiTheme="majorHAnsi"/>
        </w:rPr>
        <w:footnoteReference w:id="1"/>
      </w:r>
      <w:r>
        <w:rPr>
          <w:rFonts w:asciiTheme="majorHAnsi" w:hAnsiTheme="majorHAnsi"/>
        </w:rPr>
        <w:t>=0,90</w:t>
      </w:r>
    </w:p>
    <w:p w14:paraId="5FC9E44B"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Klassendiskussionen (Rang 7)</w:t>
      </w:r>
      <w:r>
        <w:rPr>
          <w:rFonts w:asciiTheme="majorHAnsi" w:hAnsiTheme="majorHAnsi"/>
        </w:rPr>
        <w:t>, d=0,82</w:t>
      </w:r>
    </w:p>
    <w:p w14:paraId="5F480B14"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Interventionen für Lernende mit besonderem Förderbedarf (Rang 8)</w:t>
      </w:r>
      <w:r>
        <w:rPr>
          <w:rFonts w:asciiTheme="majorHAnsi" w:hAnsiTheme="majorHAnsi"/>
        </w:rPr>
        <w:t>, d=0,77</w:t>
      </w:r>
    </w:p>
    <w:p w14:paraId="69DDE571"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Feedback (Rang 10)</w:t>
      </w:r>
      <w:r>
        <w:rPr>
          <w:rFonts w:asciiTheme="majorHAnsi" w:hAnsiTheme="majorHAnsi"/>
        </w:rPr>
        <w:t>, d= 0,75</w:t>
      </w:r>
    </w:p>
    <w:p w14:paraId="00B7FE77"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Reziprokes Lehren (Rang 11)</w:t>
      </w:r>
      <w:r>
        <w:rPr>
          <w:rFonts w:asciiTheme="majorHAnsi" w:hAnsiTheme="majorHAnsi"/>
        </w:rPr>
        <w:t>, d= 0,74</w:t>
      </w:r>
    </w:p>
    <w:p w14:paraId="2DA9C99D"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Rhythmisiertes vs. geballtes Üben (Rang 13)</w:t>
      </w:r>
      <w:r>
        <w:rPr>
          <w:rFonts w:asciiTheme="majorHAnsi" w:hAnsiTheme="majorHAnsi"/>
        </w:rPr>
        <w:t>, d=0,71</w:t>
      </w:r>
    </w:p>
    <w:p w14:paraId="65A85038" w14:textId="77777777" w:rsidR="00F05E8D" w:rsidRPr="00B04401" w:rsidRDefault="00F05E8D" w:rsidP="00F05E8D">
      <w:pPr>
        <w:pStyle w:val="Listenabsatz"/>
        <w:numPr>
          <w:ilvl w:val="0"/>
          <w:numId w:val="1"/>
        </w:numPr>
        <w:rPr>
          <w:rFonts w:asciiTheme="majorHAnsi" w:hAnsiTheme="majorHAnsi"/>
        </w:rPr>
      </w:pPr>
      <w:r w:rsidRPr="00B04401">
        <w:rPr>
          <w:rFonts w:asciiTheme="majorHAnsi" w:hAnsiTheme="majorHAnsi"/>
        </w:rPr>
        <w:t>Meta-kognitive Strategien (Rang 14)</w:t>
      </w:r>
      <w:r>
        <w:rPr>
          <w:rFonts w:asciiTheme="majorHAnsi" w:hAnsiTheme="majorHAnsi"/>
        </w:rPr>
        <w:t>, d=0,69</w:t>
      </w:r>
    </w:p>
    <w:p w14:paraId="051A64ED" w14:textId="77777777" w:rsidR="00F05E8D" w:rsidRDefault="00F05E8D" w:rsidP="00F05E8D">
      <w:pPr>
        <w:rPr>
          <w:rFonts w:asciiTheme="majorHAnsi" w:hAnsiTheme="majorHAnsi"/>
        </w:rPr>
      </w:pPr>
    </w:p>
    <w:p w14:paraId="173A4B35" w14:textId="77777777" w:rsidR="00290D51" w:rsidRDefault="00F05E8D" w:rsidP="00F05E8D">
      <w:pPr>
        <w:rPr>
          <w:rFonts w:asciiTheme="majorHAnsi" w:hAnsiTheme="majorHAnsi"/>
        </w:rPr>
      </w:pPr>
      <w:r>
        <w:rPr>
          <w:rFonts w:asciiTheme="majorHAnsi" w:hAnsiTheme="majorHAnsi"/>
        </w:rPr>
        <w:t>Unter den Bedingungen der binnendifferenzierenden bzw. Vertiefungsstunden, die insbesondere der Heterogenität gerecht werden sollen, bieten sich die Faktoren „Feedback“ und „Reziprokes Le</w:t>
      </w:r>
      <w:r w:rsidR="00290D51">
        <w:rPr>
          <w:rFonts w:asciiTheme="majorHAnsi" w:hAnsiTheme="majorHAnsi"/>
        </w:rPr>
        <w:t>hren“ an, insofern gerade die</w:t>
      </w:r>
      <w:r>
        <w:rPr>
          <w:rFonts w:asciiTheme="majorHAnsi" w:hAnsiTheme="majorHAnsi"/>
        </w:rPr>
        <w:t xml:space="preserve"> Vertiefungsstunde</w:t>
      </w:r>
      <w:r w:rsidR="00290D51">
        <w:rPr>
          <w:rFonts w:asciiTheme="majorHAnsi" w:hAnsiTheme="majorHAnsi"/>
        </w:rPr>
        <w:t>n</w:t>
      </w:r>
      <w:r>
        <w:rPr>
          <w:rFonts w:asciiTheme="majorHAnsi" w:hAnsiTheme="majorHAnsi"/>
        </w:rPr>
        <w:t xml:space="preserve"> den Vorte</w:t>
      </w:r>
      <w:r w:rsidR="00290D51">
        <w:rPr>
          <w:rFonts w:asciiTheme="majorHAnsi" w:hAnsiTheme="majorHAnsi"/>
        </w:rPr>
        <w:t>il der kleinen Lerngruppe bieten</w:t>
      </w:r>
      <w:r>
        <w:rPr>
          <w:rFonts w:asciiTheme="majorHAnsi" w:hAnsiTheme="majorHAnsi"/>
        </w:rPr>
        <w:t>.</w:t>
      </w:r>
      <w:r>
        <w:rPr>
          <w:rStyle w:val="Funotenzeichen"/>
          <w:rFonts w:asciiTheme="majorHAnsi" w:hAnsiTheme="majorHAnsi"/>
        </w:rPr>
        <w:footnoteReference w:id="2"/>
      </w:r>
      <w:r>
        <w:rPr>
          <w:rFonts w:asciiTheme="majorHAnsi" w:hAnsiTheme="majorHAnsi"/>
        </w:rPr>
        <w:t xml:space="preserve">  </w:t>
      </w:r>
    </w:p>
    <w:p w14:paraId="71EEF67E" w14:textId="77777777" w:rsidR="00290D51" w:rsidRDefault="00290D51" w:rsidP="00F05E8D">
      <w:pPr>
        <w:rPr>
          <w:rFonts w:asciiTheme="majorHAnsi" w:hAnsiTheme="majorHAnsi"/>
        </w:rPr>
      </w:pPr>
    </w:p>
    <w:p w14:paraId="7773387B" w14:textId="426C639B" w:rsidR="00290D51" w:rsidRDefault="00290D51" w:rsidP="00F05E8D">
      <w:pPr>
        <w:rPr>
          <w:rFonts w:asciiTheme="majorHAnsi" w:hAnsiTheme="majorHAnsi"/>
        </w:rPr>
      </w:pPr>
      <w:r>
        <w:rPr>
          <w:rFonts w:asciiTheme="majorHAnsi" w:hAnsiTheme="majorHAnsi"/>
        </w:rPr>
        <w:t>Dass Co-Teaching/Team-Teaching „nur“ Rang 118 erreicht, ist erläuterungswürdig, insofern Team-Teaching ja gerade die Unterrichtsform darstellt, die an vielen Schulen mit den Vertiefungsstunden verknüpft ist.</w:t>
      </w:r>
    </w:p>
    <w:p w14:paraId="3FC19C87" w14:textId="646CE298" w:rsidR="005D395A" w:rsidRDefault="00290D51">
      <w:r>
        <w:rPr>
          <w:rFonts w:asciiTheme="majorHAnsi" w:hAnsiTheme="majorHAnsi"/>
        </w:rPr>
        <w:t xml:space="preserve">Die von Hattie zusammengefassten Studien messen auch hier den Einflussfaktor, d. i.  „Co-Teaching/Team-Teaching“, isoliert. Es wird, vereinfacht gesagt, gemessen, wie groß der Effekt ist, wenn zwei Lehrkräfte im Klassenzimmer sind. Allein durch diese Maßnahme aber ergeben sich </w:t>
      </w:r>
      <w:r w:rsidR="002E338B">
        <w:rPr>
          <w:rFonts w:asciiTheme="majorHAnsi" w:hAnsiTheme="majorHAnsi"/>
        </w:rPr>
        <w:t xml:space="preserve">(„natürlich“) </w:t>
      </w:r>
      <w:r>
        <w:rPr>
          <w:rFonts w:asciiTheme="majorHAnsi" w:hAnsiTheme="majorHAnsi"/>
        </w:rPr>
        <w:t>keine gesteigerten Lerneffekte. Team-Teaching – und genau das soll in den Vertiefungsstunden erfolgen – ist also mit anderen Faktoren zu kombinieren und kann so zum Lernerfolg beitragen.</w:t>
      </w:r>
    </w:p>
    <w:sectPr w:rsidR="005D395A" w:rsidSect="0072549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0C6B6" w14:textId="77777777" w:rsidR="00F05E8D" w:rsidRDefault="00F05E8D" w:rsidP="00F05E8D">
      <w:r>
        <w:separator/>
      </w:r>
    </w:p>
  </w:endnote>
  <w:endnote w:type="continuationSeparator" w:id="0">
    <w:p w14:paraId="0886B5FD" w14:textId="77777777" w:rsidR="00F05E8D" w:rsidRDefault="00F05E8D" w:rsidP="00F0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C502" w14:textId="77777777" w:rsidR="00F05E8D" w:rsidRDefault="00F05E8D" w:rsidP="00F05E8D">
      <w:r>
        <w:separator/>
      </w:r>
    </w:p>
  </w:footnote>
  <w:footnote w:type="continuationSeparator" w:id="0">
    <w:p w14:paraId="539F984E" w14:textId="77777777" w:rsidR="00F05E8D" w:rsidRDefault="00F05E8D" w:rsidP="00F05E8D">
      <w:r>
        <w:continuationSeparator/>
      </w:r>
    </w:p>
  </w:footnote>
  <w:footnote w:id="1">
    <w:p w14:paraId="21AF14D8" w14:textId="403DBD75" w:rsidR="00F05E8D" w:rsidRPr="00282F11" w:rsidRDefault="00F05E8D" w:rsidP="00F05E8D">
      <w:pPr>
        <w:pStyle w:val="Funotentext"/>
        <w:rPr>
          <w:rFonts w:asciiTheme="majorHAnsi" w:hAnsiTheme="majorHAnsi"/>
        </w:rPr>
      </w:pPr>
      <w:r w:rsidRPr="00282F11">
        <w:rPr>
          <w:rStyle w:val="Funotenzeichen"/>
          <w:rFonts w:asciiTheme="majorHAnsi" w:hAnsiTheme="majorHAnsi"/>
        </w:rPr>
        <w:footnoteRef/>
      </w:r>
      <w:r w:rsidRPr="00282F11">
        <w:rPr>
          <w:rFonts w:asciiTheme="majorHAnsi" w:hAnsiTheme="majorHAnsi"/>
        </w:rPr>
        <w:t xml:space="preserve"> </w:t>
      </w:r>
      <w:r w:rsidRPr="00282F11">
        <w:rPr>
          <w:rFonts w:asciiTheme="majorHAnsi" w:hAnsiTheme="majorHAnsi"/>
          <w:sz w:val="22"/>
          <w:szCs w:val="22"/>
        </w:rPr>
        <w:t>Die Hattie-Studie vergleicht die Effektstärken (d) von etwa 150 Einflussfaktoren. „d“ gibt dabei den gemessenen Lernerfolg an. Ein Wert von d=0 bedeutet, dass kein Lernerfolg gemessen werden kann; Wert</w:t>
      </w:r>
      <w:r w:rsidR="00290D51">
        <w:rPr>
          <w:rFonts w:asciiTheme="majorHAnsi" w:hAnsiTheme="majorHAnsi"/>
          <w:sz w:val="22"/>
          <w:szCs w:val="22"/>
        </w:rPr>
        <w:t>e</w:t>
      </w:r>
      <w:r w:rsidRPr="00282F11">
        <w:rPr>
          <w:rFonts w:asciiTheme="majorHAnsi" w:hAnsiTheme="majorHAnsi"/>
          <w:sz w:val="22"/>
          <w:szCs w:val="22"/>
        </w:rPr>
        <w:t xml:space="preserve"> ab 0,4 gelten als hoch. Der höchste gemessene Wert ist 1,44 (Selbsteinschätzung des eigenen Leistungsniveaus/Schülererwartungen)</w:t>
      </w:r>
      <w:r w:rsidR="002E338B">
        <w:rPr>
          <w:rFonts w:asciiTheme="majorHAnsi" w:hAnsiTheme="majorHAnsi"/>
          <w:sz w:val="22"/>
          <w:szCs w:val="22"/>
        </w:rPr>
        <w:t>.</w:t>
      </w:r>
    </w:p>
  </w:footnote>
  <w:footnote w:id="2">
    <w:p w14:paraId="54BF6F58" w14:textId="7C2EBB45" w:rsidR="00F05E8D" w:rsidRPr="00753E21" w:rsidRDefault="00F05E8D" w:rsidP="00F05E8D">
      <w:pPr>
        <w:pStyle w:val="Funotentext"/>
        <w:rPr>
          <w:sz w:val="22"/>
          <w:szCs w:val="22"/>
        </w:rPr>
      </w:pPr>
      <w:r w:rsidRPr="00282F11">
        <w:rPr>
          <w:rStyle w:val="Funotenzeichen"/>
          <w:rFonts w:asciiTheme="majorHAnsi" w:hAnsiTheme="majorHAnsi"/>
        </w:rPr>
        <w:footnoteRef/>
      </w:r>
      <w:r w:rsidRPr="00282F11">
        <w:rPr>
          <w:rFonts w:asciiTheme="majorHAnsi" w:hAnsiTheme="majorHAnsi"/>
        </w:rPr>
        <w:t xml:space="preserve"> </w:t>
      </w:r>
      <w:r w:rsidR="002E338B" w:rsidRPr="002E338B">
        <w:rPr>
          <w:rFonts w:asciiTheme="majorHAnsi" w:hAnsiTheme="majorHAnsi"/>
          <w:sz w:val="22"/>
          <w:szCs w:val="22"/>
        </w:rPr>
        <w:t>Unberücksichtigt bleiben die</w:t>
      </w:r>
      <w:r w:rsidRPr="002E338B">
        <w:rPr>
          <w:rFonts w:asciiTheme="majorHAnsi" w:hAnsiTheme="majorHAnsi"/>
          <w:sz w:val="22"/>
          <w:szCs w:val="22"/>
        </w:rPr>
        <w:t xml:space="preserve">„Formative Evaluation“ </w:t>
      </w:r>
      <w:r w:rsidR="002E338B" w:rsidRPr="002E338B">
        <w:rPr>
          <w:rFonts w:asciiTheme="majorHAnsi" w:hAnsiTheme="majorHAnsi"/>
          <w:sz w:val="22"/>
          <w:szCs w:val="22"/>
        </w:rPr>
        <w:t xml:space="preserve">und die „Klassendiskussion“. Während die „Klassendiskussion traditionell im regulären Deutschunterricht bereits eine zentrale Rolle spielt, kann vermutet werden, dass eine „Formative Evaluation“ gute Effekte dort erzielen kann, wo in erster Linie Neues gelernt und weniger vertieft bzw. geübt werden soll. </w:t>
      </w:r>
      <w:r w:rsidRPr="002E338B">
        <w:rPr>
          <w:rFonts w:asciiTheme="majorHAnsi" w:hAnsiTheme="majorHAnsi"/>
          <w:sz w:val="22"/>
          <w:szCs w:val="22"/>
        </w:rPr>
        <w:t xml:space="preserve">Die Einflussfaktoren „Rhythmisiertes vs. geballtes Üben“ und „Meta-kognitive Strategien“ sind vielen Lehrkräften bewusst und werden </w:t>
      </w:r>
      <w:r w:rsidR="002E338B" w:rsidRPr="002E338B">
        <w:rPr>
          <w:rFonts w:asciiTheme="majorHAnsi" w:hAnsiTheme="majorHAnsi"/>
          <w:sz w:val="22"/>
          <w:szCs w:val="22"/>
        </w:rPr>
        <w:t xml:space="preserve">bereits </w:t>
      </w:r>
      <w:r w:rsidRPr="002E338B">
        <w:rPr>
          <w:rFonts w:asciiTheme="majorHAnsi" w:hAnsiTheme="majorHAnsi"/>
          <w:sz w:val="22"/>
          <w:szCs w:val="22"/>
        </w:rPr>
        <w:t>berücksichtigt.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DD0"/>
    <w:multiLevelType w:val="hybridMultilevel"/>
    <w:tmpl w:val="7E34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570AEF"/>
    <w:multiLevelType w:val="hybridMultilevel"/>
    <w:tmpl w:val="29A4E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8D"/>
    <w:rsid w:val="00290D51"/>
    <w:rsid w:val="002E338B"/>
    <w:rsid w:val="005D395A"/>
    <w:rsid w:val="00725499"/>
    <w:rsid w:val="00885173"/>
    <w:rsid w:val="00C51F3A"/>
    <w:rsid w:val="00F05E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32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05E8D"/>
  </w:style>
  <w:style w:type="character" w:customStyle="1" w:styleId="FunotentextZeichen">
    <w:name w:val="Fußnotentext Zeichen"/>
    <w:basedOn w:val="Absatzstandardschriftart"/>
    <w:link w:val="Funotentext"/>
    <w:uiPriority w:val="99"/>
    <w:rsid w:val="00F05E8D"/>
  </w:style>
  <w:style w:type="character" w:styleId="Funotenzeichen">
    <w:name w:val="footnote reference"/>
    <w:basedOn w:val="Absatzstandardschriftart"/>
    <w:uiPriority w:val="99"/>
    <w:unhideWhenUsed/>
    <w:rsid w:val="00F05E8D"/>
    <w:rPr>
      <w:vertAlign w:val="superscript"/>
    </w:rPr>
  </w:style>
  <w:style w:type="paragraph" w:styleId="Listenabsatz">
    <w:name w:val="List Paragraph"/>
    <w:basedOn w:val="Standard"/>
    <w:qFormat/>
    <w:rsid w:val="00F05E8D"/>
    <w:pPr>
      <w:ind w:left="720"/>
      <w:contextualSpacing/>
    </w:pPr>
  </w:style>
  <w:style w:type="table" w:styleId="Tabellenraster">
    <w:name w:val="Table Grid"/>
    <w:basedOn w:val="NormaleTabelle"/>
    <w:uiPriority w:val="59"/>
    <w:rsid w:val="002E3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05E8D"/>
  </w:style>
  <w:style w:type="character" w:customStyle="1" w:styleId="FunotentextZeichen">
    <w:name w:val="Fußnotentext Zeichen"/>
    <w:basedOn w:val="Absatzstandardschriftart"/>
    <w:link w:val="Funotentext"/>
    <w:uiPriority w:val="99"/>
    <w:rsid w:val="00F05E8D"/>
  </w:style>
  <w:style w:type="character" w:styleId="Funotenzeichen">
    <w:name w:val="footnote reference"/>
    <w:basedOn w:val="Absatzstandardschriftart"/>
    <w:uiPriority w:val="99"/>
    <w:unhideWhenUsed/>
    <w:rsid w:val="00F05E8D"/>
    <w:rPr>
      <w:vertAlign w:val="superscript"/>
    </w:rPr>
  </w:style>
  <w:style w:type="paragraph" w:styleId="Listenabsatz">
    <w:name w:val="List Paragraph"/>
    <w:basedOn w:val="Standard"/>
    <w:qFormat/>
    <w:rsid w:val="00F05E8D"/>
    <w:pPr>
      <w:ind w:left="720"/>
      <w:contextualSpacing/>
    </w:pPr>
  </w:style>
  <w:style w:type="table" w:styleId="Tabellenraster">
    <w:name w:val="Table Grid"/>
    <w:basedOn w:val="NormaleTabelle"/>
    <w:uiPriority w:val="59"/>
    <w:rsid w:val="002E3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1666</Characters>
  <Application>Microsoft Macintosh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5</cp:revision>
  <dcterms:created xsi:type="dcterms:W3CDTF">2018-02-12T19:28:00Z</dcterms:created>
  <dcterms:modified xsi:type="dcterms:W3CDTF">2018-04-14T07:50:00Z</dcterms:modified>
</cp:coreProperties>
</file>