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46DA" w14:textId="1024BB75" w:rsidR="008547AD" w:rsidRPr="00F83DDE" w:rsidRDefault="008547AD">
      <w:pPr>
        <w:rPr>
          <w:b/>
        </w:rPr>
      </w:pPr>
      <w:r w:rsidRPr="008547AD">
        <w:rPr>
          <w:b/>
        </w:rPr>
        <w:t>Was ist Reziprokes Lehren?</w:t>
      </w:r>
    </w:p>
    <w:p w14:paraId="747E4DF9" w14:textId="11769E5E" w:rsidR="00F83DDE" w:rsidRDefault="00F83DDE" w:rsidP="00F83DDE">
      <w:pPr>
        <w:spacing w:before="100" w:beforeAutospacing="1" w:after="100" w:afterAutospacing="1"/>
        <w:rPr>
          <w:rFonts w:cs="Times New Roman"/>
          <w:color w:val="000000"/>
        </w:rPr>
      </w:pPr>
      <w:r>
        <w:rPr>
          <w:rFonts w:cs="Times New Roman"/>
          <w:color w:val="000000"/>
        </w:rPr>
        <w:t>Rez</w:t>
      </w:r>
      <w:r w:rsidR="00144F02">
        <w:rPr>
          <w:rFonts w:cs="Times New Roman"/>
          <w:color w:val="000000"/>
        </w:rPr>
        <w:t>i</w:t>
      </w:r>
      <w:r>
        <w:rPr>
          <w:rFonts w:cs="Times New Roman"/>
          <w:color w:val="000000"/>
        </w:rPr>
        <w:t xml:space="preserve">prokes Lehren oder auch Reziprokes Lesen ist eine Methode, die ursprünglich von den </w:t>
      </w:r>
      <w:r w:rsidR="00144F02">
        <w:rPr>
          <w:rFonts w:cs="Times New Roman"/>
          <w:color w:val="000000"/>
        </w:rPr>
        <w:t xml:space="preserve">amerikanischen Lesedidaktikerinnen Annemarie S. </w:t>
      </w:r>
      <w:r>
        <w:rPr>
          <w:rFonts w:cs="Times New Roman"/>
          <w:color w:val="000000"/>
        </w:rPr>
        <w:t xml:space="preserve">Palinscar und </w:t>
      </w:r>
      <w:r w:rsidR="00144F02">
        <w:rPr>
          <w:rFonts w:cs="Times New Roman"/>
          <w:color w:val="000000"/>
        </w:rPr>
        <w:t xml:space="preserve">Ann L. </w:t>
      </w:r>
      <w:r>
        <w:rPr>
          <w:rFonts w:cs="Times New Roman"/>
          <w:color w:val="000000"/>
        </w:rPr>
        <w:t>Brown entwickelt wurde und zunehmend auch in Deutschland auf verschiedenen Schulstufen eingesetzt wird</w:t>
      </w:r>
      <w:r>
        <w:rPr>
          <w:rStyle w:val="Funotenzeichen"/>
          <w:rFonts w:cs="Times New Roman"/>
          <w:color w:val="000000"/>
        </w:rPr>
        <w:footnoteReference w:id="1"/>
      </w:r>
      <w:r>
        <w:rPr>
          <w:rFonts w:cs="Times New Roman"/>
          <w:color w:val="000000"/>
        </w:rPr>
        <w:t>.</w:t>
      </w:r>
      <w:r w:rsidR="00144F02">
        <w:rPr>
          <w:rFonts w:cs="Times New Roman"/>
          <w:color w:val="000000"/>
        </w:rPr>
        <w:t xml:space="preserve"> Das RL ist den metakognitiven Strategien zuzurechnen und befähigt Lerner zunehmend selbststündig Texte zu erschließen.</w:t>
      </w:r>
    </w:p>
    <w:p w14:paraId="11E750C0" w14:textId="138F5E77" w:rsidR="00F83DDE" w:rsidRDefault="00F83DDE" w:rsidP="00F83DDE">
      <w:pPr>
        <w:spacing w:before="100" w:beforeAutospacing="1" w:after="100" w:afterAutospacing="1"/>
        <w:rPr>
          <w:rFonts w:cs="Times New Roman"/>
          <w:color w:val="000000"/>
        </w:rPr>
      </w:pPr>
      <w:r>
        <w:rPr>
          <w:rFonts w:cs="Times New Roman"/>
          <w:color w:val="000000"/>
        </w:rPr>
        <w:t>Die Lernpsychologin</w:t>
      </w:r>
      <w:r w:rsidR="00144F02">
        <w:rPr>
          <w:rFonts w:cs="Times New Roman"/>
          <w:color w:val="000000"/>
        </w:rPr>
        <w:t xml:space="preserve"> Ursula Scharnhorst beschreibt </w:t>
      </w:r>
      <w:r>
        <w:rPr>
          <w:rFonts w:cs="Times New Roman"/>
          <w:color w:val="000000"/>
        </w:rPr>
        <w:t xml:space="preserve">die Methode </w:t>
      </w:r>
      <w:r w:rsidR="00144F02">
        <w:rPr>
          <w:rFonts w:cs="Times New Roman"/>
          <w:color w:val="000000"/>
        </w:rPr>
        <w:t>wie folgt</w:t>
      </w:r>
      <w:r w:rsidR="00144F02">
        <w:rPr>
          <w:rStyle w:val="Funotenzeichen"/>
          <w:rFonts w:cs="Times New Roman"/>
          <w:color w:val="000000"/>
        </w:rPr>
        <w:footnoteReference w:id="2"/>
      </w:r>
      <w:r w:rsidR="00144F02">
        <w:rPr>
          <w:rFonts w:cs="Times New Roman"/>
          <w:color w:val="000000"/>
        </w:rPr>
        <w:t>:</w:t>
      </w:r>
    </w:p>
    <w:p w14:paraId="1905ED5B" w14:textId="387449D7" w:rsidR="00F83DDE" w:rsidRPr="00F83DDE" w:rsidRDefault="00144F02" w:rsidP="00F83DDE">
      <w:pPr>
        <w:spacing w:before="100" w:beforeAutospacing="1" w:after="100" w:afterAutospacing="1"/>
        <w:rPr>
          <w:rFonts w:cs="Times New Roman"/>
          <w:color w:val="000000"/>
        </w:rPr>
      </w:pPr>
      <w:r>
        <w:rPr>
          <w:rFonts w:cs="Times New Roman"/>
          <w:color w:val="000000"/>
        </w:rPr>
        <w:t>„</w:t>
      </w:r>
      <w:r w:rsidR="00F83DDE" w:rsidRPr="00F83DDE">
        <w:rPr>
          <w:rFonts w:cs="Times New Roman"/>
          <w:color w:val="000000"/>
        </w:rPr>
        <w:t>Reziprokes Lehren ist eine Gruppenaktivität, bei der das Lesen von Fachtexten geschult wird.</w:t>
      </w:r>
    </w:p>
    <w:p w14:paraId="136F802C" w14:textId="77777777" w:rsidR="00F83DDE" w:rsidRPr="00F83DDE" w:rsidRDefault="00F83DDE" w:rsidP="00F83DDE">
      <w:pPr>
        <w:spacing w:before="100" w:beforeAutospacing="1" w:after="100" w:afterAutospacing="1"/>
        <w:rPr>
          <w:rFonts w:cs="Times New Roman"/>
          <w:color w:val="000000"/>
        </w:rPr>
      </w:pPr>
      <w:r w:rsidRPr="00F83DDE">
        <w:rPr>
          <w:rFonts w:cs="Times New Roman"/>
          <w:color w:val="000000"/>
        </w:rPr>
        <w:t>Die Lernenden arbeiten in Gruppen von ca. 6 Mitgliedern. Der Text wird abschnittweise still gelesen und dann gemeinsam besprochen. Für die Besprechung übernehmen die Lernenden abwechselnd die Lehrerrolle. Sie stellen in dieser Rolle jeweils sicher, dass die folgenden vier Strategien der Reihe nach angewendet werden:</w:t>
      </w: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117"/>
        <w:gridCol w:w="7149"/>
      </w:tblGrid>
      <w:tr w:rsidR="00F83DDE" w:rsidRPr="00F83DDE" w14:paraId="7C95FE49" w14:textId="77777777" w:rsidTr="00F83DDE">
        <w:trPr>
          <w:tblCellSpacing w:w="0" w:type="dxa"/>
        </w:trPr>
        <w:tc>
          <w:tcPr>
            <w:tcW w:w="800" w:type="pct"/>
            <w:hideMark/>
          </w:tcPr>
          <w:p w14:paraId="3794CFBB" w14:textId="77777777" w:rsidR="00F83DDE" w:rsidRPr="00F83DDE" w:rsidRDefault="00F83DDE" w:rsidP="00F83DDE">
            <w:pPr>
              <w:rPr>
                <w:rFonts w:eastAsia="Times New Roman" w:cs="Times New Roman"/>
              </w:rPr>
            </w:pPr>
            <w:r w:rsidRPr="00F83DDE">
              <w:rPr>
                <w:rFonts w:eastAsia="Times New Roman" w:cs="Times New Roman"/>
                <w:b/>
                <w:bCs/>
              </w:rPr>
              <w:t>Fragenstellen</w:t>
            </w:r>
          </w:p>
        </w:tc>
        <w:tc>
          <w:tcPr>
            <w:tcW w:w="4200" w:type="pct"/>
            <w:hideMark/>
          </w:tcPr>
          <w:p w14:paraId="62F2182A" w14:textId="77777777" w:rsidR="00F83DDE" w:rsidRPr="00F83DDE" w:rsidRDefault="00F83DDE" w:rsidP="00F83DDE">
            <w:pPr>
              <w:rPr>
                <w:rFonts w:eastAsia="Times New Roman" w:cs="Times New Roman"/>
              </w:rPr>
            </w:pPr>
            <w:r w:rsidRPr="00F83DDE">
              <w:rPr>
                <w:rFonts w:eastAsia="Times New Roman" w:cs="Times New Roman"/>
              </w:rPr>
              <w:t>Nach der Kernaussage des Textabschnitts </w:t>
            </w:r>
            <w:r w:rsidRPr="00F83DDE">
              <w:rPr>
                <w:rFonts w:eastAsia="Times New Roman" w:cs="Times New Roman"/>
                <w:b/>
                <w:bCs/>
              </w:rPr>
              <w:t>fragen</w:t>
            </w:r>
            <w:r w:rsidRPr="00F83DDE">
              <w:rPr>
                <w:rFonts w:eastAsia="Times New Roman" w:cs="Times New Roman"/>
              </w:rPr>
              <w:t> und weitere Fragen stellen, die der Text aufwirft. </w:t>
            </w:r>
            <w:r w:rsidRPr="00F83DDE">
              <w:rPr>
                <w:rFonts w:eastAsia="Times New Roman" w:cs="Times New Roman"/>
              </w:rPr>
              <w:br/>
              <w:t>Die Leiterin/der Leiter fragt und fordert Antworten.</w:t>
            </w:r>
          </w:p>
        </w:tc>
      </w:tr>
      <w:tr w:rsidR="00F83DDE" w:rsidRPr="00F83DDE" w14:paraId="7682BEC8" w14:textId="77777777" w:rsidTr="00F83DDE">
        <w:trPr>
          <w:tblCellSpacing w:w="0" w:type="dxa"/>
        </w:trPr>
        <w:tc>
          <w:tcPr>
            <w:tcW w:w="800" w:type="pct"/>
            <w:hideMark/>
          </w:tcPr>
          <w:p w14:paraId="21494077" w14:textId="77777777" w:rsidR="00F83DDE" w:rsidRPr="00F83DDE" w:rsidRDefault="00F83DDE" w:rsidP="00F83DDE">
            <w:pPr>
              <w:rPr>
                <w:rFonts w:eastAsia="Times New Roman" w:cs="Times New Roman"/>
              </w:rPr>
            </w:pPr>
            <w:r w:rsidRPr="00F83DDE">
              <w:rPr>
                <w:rFonts w:eastAsia="Times New Roman" w:cs="Times New Roman"/>
                <w:b/>
                <w:bCs/>
              </w:rPr>
              <w:t>Zusammenfassen</w:t>
            </w:r>
          </w:p>
        </w:tc>
        <w:tc>
          <w:tcPr>
            <w:tcW w:w="4200" w:type="pct"/>
            <w:hideMark/>
          </w:tcPr>
          <w:p w14:paraId="123AD825" w14:textId="77777777" w:rsidR="00F83DDE" w:rsidRPr="00F83DDE" w:rsidRDefault="00F83DDE" w:rsidP="00F83DDE">
            <w:pPr>
              <w:rPr>
                <w:rFonts w:eastAsia="Times New Roman" w:cs="Times New Roman"/>
              </w:rPr>
            </w:pPr>
            <w:r w:rsidRPr="00F83DDE">
              <w:rPr>
                <w:rFonts w:eastAsia="Times New Roman" w:cs="Times New Roman"/>
              </w:rPr>
              <w:t>Aussagen </w:t>
            </w:r>
            <w:r w:rsidRPr="00F83DDE">
              <w:rPr>
                <w:rFonts w:eastAsia="Times New Roman" w:cs="Times New Roman"/>
                <w:b/>
                <w:bCs/>
              </w:rPr>
              <w:t>zusammenfassen</w:t>
            </w:r>
            <w:r w:rsidRPr="00F83DDE">
              <w:rPr>
                <w:rFonts w:eastAsia="Times New Roman" w:cs="Times New Roman"/>
              </w:rPr>
              <w:t> und dabei das Verständnis prüfen und unter Umständen den Text erneut zusammenfassen. </w:t>
            </w:r>
            <w:r w:rsidRPr="00F83DDE">
              <w:rPr>
                <w:rFonts w:eastAsia="Times New Roman" w:cs="Times New Roman"/>
              </w:rPr>
              <w:br/>
              <w:t>Die Leiterin/der Leiter fasst zusammen.</w:t>
            </w:r>
          </w:p>
        </w:tc>
      </w:tr>
      <w:tr w:rsidR="00F83DDE" w:rsidRPr="00F83DDE" w14:paraId="67A32B59" w14:textId="77777777" w:rsidTr="00F83DDE">
        <w:trPr>
          <w:tblCellSpacing w:w="0" w:type="dxa"/>
        </w:trPr>
        <w:tc>
          <w:tcPr>
            <w:tcW w:w="800" w:type="pct"/>
            <w:hideMark/>
          </w:tcPr>
          <w:p w14:paraId="10DDF978" w14:textId="77777777" w:rsidR="00F83DDE" w:rsidRPr="00F83DDE" w:rsidRDefault="00F83DDE" w:rsidP="00F83DDE">
            <w:pPr>
              <w:rPr>
                <w:rFonts w:eastAsia="Times New Roman" w:cs="Times New Roman"/>
              </w:rPr>
            </w:pPr>
            <w:r w:rsidRPr="00F83DDE">
              <w:rPr>
                <w:rFonts w:eastAsia="Times New Roman" w:cs="Times New Roman"/>
                <w:b/>
                <w:bCs/>
              </w:rPr>
              <w:t>Klären</w:t>
            </w:r>
          </w:p>
        </w:tc>
        <w:tc>
          <w:tcPr>
            <w:tcW w:w="4200" w:type="pct"/>
            <w:hideMark/>
          </w:tcPr>
          <w:p w14:paraId="2EB818FB" w14:textId="77777777" w:rsidR="00F83DDE" w:rsidRPr="00F83DDE" w:rsidRDefault="00F83DDE" w:rsidP="00F83DDE">
            <w:pPr>
              <w:rPr>
                <w:rFonts w:eastAsia="Times New Roman" w:cs="Times New Roman"/>
              </w:rPr>
            </w:pPr>
            <w:r w:rsidRPr="00F83DDE">
              <w:rPr>
                <w:rFonts w:eastAsia="Times New Roman" w:cs="Times New Roman"/>
              </w:rPr>
              <w:t>Sachverhalte </w:t>
            </w:r>
            <w:r w:rsidRPr="00F83DDE">
              <w:rPr>
                <w:rFonts w:eastAsia="Times New Roman" w:cs="Times New Roman"/>
                <w:b/>
                <w:bCs/>
              </w:rPr>
              <w:t>klären</w:t>
            </w:r>
            <w:r w:rsidRPr="00F83DDE">
              <w:rPr>
                <w:rFonts w:eastAsia="Times New Roman" w:cs="Times New Roman"/>
              </w:rPr>
              <w:t>, indem Schwierigkeiten beim Verstehen isoliert und formuliert werden. </w:t>
            </w:r>
            <w:r w:rsidRPr="00F83DDE">
              <w:rPr>
                <w:rFonts w:eastAsia="Times New Roman" w:cs="Times New Roman"/>
              </w:rPr>
              <w:br/>
              <w:t>Die Leiterin/der Leiter fordert Worterklärungen.</w:t>
            </w:r>
          </w:p>
        </w:tc>
      </w:tr>
      <w:tr w:rsidR="00F83DDE" w:rsidRPr="00F83DDE" w14:paraId="41707CC8" w14:textId="77777777" w:rsidTr="00F83DDE">
        <w:trPr>
          <w:tblCellSpacing w:w="0" w:type="dxa"/>
        </w:trPr>
        <w:tc>
          <w:tcPr>
            <w:tcW w:w="800" w:type="pct"/>
            <w:hideMark/>
          </w:tcPr>
          <w:p w14:paraId="79C2F12F" w14:textId="77777777" w:rsidR="00F83DDE" w:rsidRPr="00F83DDE" w:rsidRDefault="00F83DDE" w:rsidP="00F83DDE">
            <w:pPr>
              <w:rPr>
                <w:rFonts w:eastAsia="Times New Roman" w:cs="Times New Roman"/>
              </w:rPr>
            </w:pPr>
            <w:r w:rsidRPr="00F83DDE">
              <w:rPr>
                <w:rFonts w:eastAsia="Times New Roman" w:cs="Times New Roman"/>
                <w:b/>
                <w:bCs/>
              </w:rPr>
              <w:t>Vorhersagen</w:t>
            </w:r>
          </w:p>
        </w:tc>
        <w:tc>
          <w:tcPr>
            <w:tcW w:w="4200" w:type="pct"/>
            <w:hideMark/>
          </w:tcPr>
          <w:p w14:paraId="46ABA1F1" w14:textId="77777777" w:rsidR="00F83DDE" w:rsidRPr="00F83DDE" w:rsidRDefault="00F83DDE" w:rsidP="00F83DDE">
            <w:pPr>
              <w:rPr>
                <w:rFonts w:eastAsia="Times New Roman" w:cs="Times New Roman"/>
              </w:rPr>
            </w:pPr>
            <w:r w:rsidRPr="00F83DDE">
              <w:rPr>
                <w:rFonts w:eastAsia="Times New Roman" w:cs="Times New Roman"/>
                <w:b/>
                <w:bCs/>
              </w:rPr>
              <w:t>Vorhersagen</w:t>
            </w:r>
            <w:r w:rsidRPr="00F83DDE">
              <w:rPr>
                <w:rFonts w:eastAsia="Times New Roman" w:cs="Times New Roman"/>
              </w:rPr>
              <w:t>, worum es im Text weiter gehen könnte (die Erwartungen/Hypothesen können am Text selbst überprüft werden) </w:t>
            </w:r>
            <w:r w:rsidRPr="00F83DDE">
              <w:rPr>
                <w:rFonts w:eastAsia="Times New Roman" w:cs="Times New Roman"/>
              </w:rPr>
              <w:br/>
              <w:t>Die Leiterin/der Leiter "wagt" die Vorhersage.</w:t>
            </w:r>
          </w:p>
        </w:tc>
      </w:tr>
    </w:tbl>
    <w:p w14:paraId="32AEBADA" w14:textId="77777777" w:rsidR="008E75F7" w:rsidRDefault="008E75F7" w:rsidP="008E75F7"/>
    <w:p w14:paraId="761AC9E7" w14:textId="77777777" w:rsidR="00F83DDE" w:rsidRPr="00F83DDE" w:rsidRDefault="00F83DDE" w:rsidP="00F83DDE">
      <w:pPr>
        <w:rPr>
          <w:rFonts w:eastAsia="Times New Roman" w:cs="Times New Roman"/>
        </w:rPr>
      </w:pPr>
      <w:r w:rsidRPr="00F83DDE">
        <w:rPr>
          <w:rFonts w:eastAsia="Times New Roman" w:cs="Times New Roman"/>
          <w:bCs/>
          <w:color w:val="000000"/>
        </w:rPr>
        <w:t>Wichtige Merkmale von Reziprokem Lehren</w:t>
      </w:r>
    </w:p>
    <w:p w14:paraId="7CC08F69" w14:textId="77777777" w:rsidR="00F83DDE" w:rsidRPr="00F83DDE" w:rsidRDefault="00F83DDE" w:rsidP="00F83DDE">
      <w:pPr>
        <w:numPr>
          <w:ilvl w:val="0"/>
          <w:numId w:val="2"/>
        </w:numPr>
        <w:spacing w:before="100" w:beforeAutospacing="1" w:after="100" w:afterAutospacing="1"/>
        <w:rPr>
          <w:rFonts w:eastAsia="Times New Roman" w:cs="Times New Roman"/>
          <w:color w:val="000000"/>
        </w:rPr>
      </w:pPr>
      <w:r w:rsidRPr="00F83DDE">
        <w:rPr>
          <w:rFonts w:eastAsia="Times New Roman" w:cs="Times New Roman"/>
          <w:color w:val="000000"/>
        </w:rPr>
        <w:t>Die Strategien sind gleichzeitig verständnisfördernd und verständnisprüfend.</w:t>
      </w:r>
    </w:p>
    <w:p w14:paraId="024AAFF3" w14:textId="77777777" w:rsidR="00F83DDE" w:rsidRPr="00F83DDE" w:rsidRDefault="00F83DDE" w:rsidP="00F83DDE">
      <w:pPr>
        <w:numPr>
          <w:ilvl w:val="0"/>
          <w:numId w:val="2"/>
        </w:numPr>
        <w:spacing w:before="100" w:beforeAutospacing="1" w:after="100" w:afterAutospacing="1"/>
        <w:rPr>
          <w:rFonts w:eastAsia="Times New Roman" w:cs="Times New Roman"/>
          <w:color w:val="000000"/>
        </w:rPr>
      </w:pPr>
      <w:r w:rsidRPr="00F83DDE">
        <w:rPr>
          <w:rFonts w:eastAsia="Times New Roman" w:cs="Times New Roman"/>
          <w:color w:val="000000"/>
        </w:rPr>
        <w:t>Die Strategien sind eingebettet in den Dialog zwischen den Schülern (und der Lehrperson).</w:t>
      </w:r>
    </w:p>
    <w:p w14:paraId="064CBA0C" w14:textId="77777777" w:rsidR="00F83DDE" w:rsidRPr="00F83DDE" w:rsidRDefault="00F83DDE" w:rsidP="00F83DDE">
      <w:pPr>
        <w:numPr>
          <w:ilvl w:val="0"/>
          <w:numId w:val="2"/>
        </w:numPr>
        <w:spacing w:before="100" w:beforeAutospacing="1" w:after="100" w:afterAutospacing="1"/>
        <w:rPr>
          <w:rFonts w:eastAsia="Times New Roman" w:cs="Times New Roman"/>
          <w:color w:val="000000"/>
          <w:sz w:val="27"/>
          <w:szCs w:val="27"/>
        </w:rPr>
      </w:pPr>
      <w:r w:rsidRPr="00F83DDE">
        <w:rPr>
          <w:rFonts w:eastAsia="Times New Roman" w:cs="Times New Roman"/>
          <w:color w:val="000000"/>
        </w:rPr>
        <w:t>Die Strategien werden eingesetzt, um konkrete Verständnisprobleme in Texten anzugehen.</w:t>
      </w:r>
    </w:p>
    <w:p w14:paraId="488A1DC0" w14:textId="0FD34792" w:rsidR="00F83DDE" w:rsidRPr="00F83DDE" w:rsidRDefault="00F83DDE" w:rsidP="00F83DDE">
      <w:pPr>
        <w:numPr>
          <w:ilvl w:val="0"/>
          <w:numId w:val="2"/>
        </w:numPr>
        <w:spacing w:before="100" w:beforeAutospacing="1" w:after="100" w:afterAutospacing="1"/>
        <w:rPr>
          <w:rFonts w:eastAsia="Times New Roman" w:cs="Times New Roman"/>
          <w:color w:val="000000"/>
          <w:sz w:val="20"/>
          <w:szCs w:val="20"/>
        </w:rPr>
      </w:pPr>
      <w:r w:rsidRPr="00F83DDE">
        <w:rPr>
          <w:rFonts w:eastAsia="Times New Roman" w:cs="Times New Roman"/>
          <w:color w:val="000000"/>
        </w:rPr>
        <w:t>RL ist Lernen in Zonen der</w:t>
      </w:r>
      <w:r w:rsidRPr="00F83DDE">
        <w:rPr>
          <w:rStyle w:val="apple-converted-space"/>
          <w:rFonts w:eastAsia="Times New Roman" w:cs="Times New Roman"/>
          <w:color w:val="000000"/>
        </w:rPr>
        <w:t> </w:t>
      </w:r>
      <w:r w:rsidRPr="00F83DDE">
        <w:rPr>
          <w:rFonts w:eastAsia="Times New Roman" w:cs="Times New Roman"/>
          <w:color w:val="000000"/>
        </w:rPr>
        <w:t>proximalen Entwicklung</w:t>
      </w:r>
      <w:r w:rsidRPr="00F83DDE">
        <w:rPr>
          <w:rStyle w:val="apple-converted-space"/>
          <w:rFonts w:eastAsia="Times New Roman" w:cs="Times New Roman"/>
          <w:color w:val="000000"/>
        </w:rPr>
        <w:t> </w:t>
      </w:r>
      <w:r w:rsidRPr="00F83DDE">
        <w:rPr>
          <w:rFonts w:eastAsia="Times New Roman" w:cs="Times New Roman"/>
          <w:color w:val="000000"/>
        </w:rPr>
        <w:t>(Wygotski).</w:t>
      </w:r>
    </w:p>
    <w:p w14:paraId="75A432D8" w14:textId="77777777" w:rsidR="00F83DDE" w:rsidRPr="00F83DDE" w:rsidRDefault="00F83DDE" w:rsidP="00F83DDE">
      <w:pPr>
        <w:numPr>
          <w:ilvl w:val="0"/>
          <w:numId w:val="2"/>
        </w:numPr>
        <w:spacing w:before="100" w:beforeAutospacing="1" w:after="100" w:afterAutospacing="1"/>
        <w:rPr>
          <w:rFonts w:eastAsia="Times New Roman" w:cs="Times New Roman"/>
          <w:color w:val="000000"/>
        </w:rPr>
      </w:pPr>
      <w:r w:rsidRPr="00F83DDE">
        <w:rPr>
          <w:rFonts w:eastAsia="Times New Roman" w:cs="Times New Roman"/>
          <w:color w:val="000000"/>
        </w:rPr>
        <w:lastRenderedPageBreak/>
        <w:t>RL ist kollaboratives Lernen; die Gruppe als Ganzes ist für die Durchführung der Methode verantwortlich.</w:t>
      </w:r>
    </w:p>
    <w:p w14:paraId="373F6CCC" w14:textId="2840B75F" w:rsidR="00F83DDE" w:rsidRPr="00144F02" w:rsidRDefault="00F83DDE" w:rsidP="00F83DDE">
      <w:pPr>
        <w:numPr>
          <w:ilvl w:val="0"/>
          <w:numId w:val="2"/>
        </w:numPr>
        <w:spacing w:before="100" w:beforeAutospacing="1" w:after="100" w:afterAutospacing="1"/>
        <w:rPr>
          <w:rFonts w:eastAsia="Times New Roman" w:cs="Times New Roman"/>
          <w:color w:val="000000"/>
          <w:sz w:val="27"/>
          <w:szCs w:val="27"/>
        </w:rPr>
      </w:pPr>
      <w:r w:rsidRPr="00F83DDE">
        <w:rPr>
          <w:rFonts w:eastAsia="Times New Roman" w:cs="Times New Roman"/>
          <w:color w:val="000000"/>
        </w:rPr>
        <w:t>RL basiert auf dem Prinzip der Experten-Unterstützung (scaffolding). Jeder Schüler kann seinem Niveau entsprechend mitmachen.</w:t>
      </w:r>
      <w:r w:rsidR="00144F02">
        <w:rPr>
          <w:rFonts w:eastAsia="Times New Roman" w:cs="Times New Roman"/>
          <w:color w:val="000000"/>
        </w:rPr>
        <w:t>“</w:t>
      </w:r>
    </w:p>
    <w:p w14:paraId="71BE5A5E" w14:textId="77777777" w:rsidR="00F83DDE" w:rsidRPr="00BB7C56" w:rsidRDefault="00F83DDE" w:rsidP="00F83DDE">
      <w:pPr>
        <w:rPr>
          <w:b/>
        </w:rPr>
      </w:pPr>
      <w:r w:rsidRPr="00BB7C56">
        <w:rPr>
          <w:b/>
        </w:rPr>
        <w:t>Reziprokes Lehren im Unterricht (Implementierung)</w:t>
      </w:r>
    </w:p>
    <w:p w14:paraId="55C77FF7" w14:textId="647439A9" w:rsidR="00144F02" w:rsidRPr="00144F02" w:rsidRDefault="00144F02" w:rsidP="00F83DDE">
      <w:pPr>
        <w:pStyle w:val="StandardWeb"/>
        <w:rPr>
          <w:rFonts w:asciiTheme="minorHAnsi" w:hAnsiTheme="minorHAnsi"/>
          <w:bCs/>
          <w:color w:val="000000"/>
          <w:sz w:val="24"/>
          <w:szCs w:val="24"/>
        </w:rPr>
      </w:pPr>
      <w:r w:rsidRPr="00144F02">
        <w:rPr>
          <w:rFonts w:asciiTheme="minorHAnsi" w:hAnsiTheme="minorHAnsi"/>
          <w:bCs/>
          <w:color w:val="000000"/>
          <w:sz w:val="24"/>
          <w:szCs w:val="24"/>
        </w:rPr>
        <w:t>I</w:t>
      </w:r>
      <w:r>
        <w:rPr>
          <w:rFonts w:asciiTheme="minorHAnsi" w:hAnsiTheme="minorHAnsi"/>
          <w:bCs/>
          <w:color w:val="000000"/>
          <w:sz w:val="24"/>
          <w:szCs w:val="24"/>
        </w:rPr>
        <w:t xml:space="preserve">n der 10. Klassenstufe </w:t>
      </w:r>
      <w:r w:rsidR="00332985">
        <w:rPr>
          <w:rFonts w:asciiTheme="minorHAnsi" w:hAnsiTheme="minorHAnsi"/>
          <w:bCs/>
          <w:color w:val="000000"/>
          <w:sz w:val="24"/>
          <w:szCs w:val="24"/>
        </w:rPr>
        <w:t>des Gymnasiums kan</w:t>
      </w:r>
      <w:r>
        <w:rPr>
          <w:rFonts w:asciiTheme="minorHAnsi" w:hAnsiTheme="minorHAnsi"/>
          <w:bCs/>
          <w:color w:val="000000"/>
          <w:sz w:val="24"/>
          <w:szCs w:val="24"/>
        </w:rPr>
        <w:t>n</w:t>
      </w:r>
      <w:r w:rsidR="00332985">
        <w:rPr>
          <w:rFonts w:asciiTheme="minorHAnsi" w:hAnsiTheme="minorHAnsi"/>
          <w:bCs/>
          <w:color w:val="000000"/>
          <w:sz w:val="24"/>
          <w:szCs w:val="24"/>
        </w:rPr>
        <w:t xml:space="preserve"> von</w:t>
      </w:r>
      <w:r>
        <w:rPr>
          <w:rFonts w:asciiTheme="minorHAnsi" w:hAnsiTheme="minorHAnsi"/>
          <w:bCs/>
          <w:color w:val="000000"/>
          <w:sz w:val="24"/>
          <w:szCs w:val="24"/>
        </w:rPr>
        <w:t xml:space="preserve"> eine</w:t>
      </w:r>
      <w:r w:rsidR="00332985">
        <w:rPr>
          <w:rFonts w:asciiTheme="minorHAnsi" w:hAnsiTheme="minorHAnsi"/>
          <w:bCs/>
          <w:color w:val="000000"/>
          <w:sz w:val="24"/>
          <w:szCs w:val="24"/>
        </w:rPr>
        <w:t>r</w:t>
      </w:r>
      <w:r>
        <w:rPr>
          <w:rFonts w:asciiTheme="minorHAnsi" w:hAnsiTheme="minorHAnsi"/>
          <w:bCs/>
          <w:color w:val="000000"/>
          <w:sz w:val="24"/>
          <w:szCs w:val="24"/>
        </w:rPr>
        <w:t xml:space="preserve"> gewisse</w:t>
      </w:r>
      <w:r w:rsidR="00332985">
        <w:rPr>
          <w:rFonts w:asciiTheme="minorHAnsi" w:hAnsiTheme="minorHAnsi"/>
          <w:bCs/>
          <w:color w:val="000000"/>
          <w:sz w:val="24"/>
          <w:szCs w:val="24"/>
        </w:rPr>
        <w:t>n</w:t>
      </w:r>
      <w:r>
        <w:rPr>
          <w:rFonts w:asciiTheme="minorHAnsi" w:hAnsiTheme="minorHAnsi"/>
          <w:bCs/>
          <w:color w:val="000000"/>
          <w:sz w:val="24"/>
          <w:szCs w:val="24"/>
        </w:rPr>
        <w:t xml:space="preserve"> Routine </w:t>
      </w:r>
      <w:r w:rsidR="00332985">
        <w:rPr>
          <w:rFonts w:asciiTheme="minorHAnsi" w:hAnsiTheme="minorHAnsi"/>
          <w:bCs/>
          <w:color w:val="000000"/>
          <w:sz w:val="24"/>
          <w:szCs w:val="24"/>
        </w:rPr>
        <w:t>und Selbstständigkeit bei der Erschließung</w:t>
      </w:r>
      <w:r>
        <w:rPr>
          <w:rFonts w:asciiTheme="minorHAnsi" w:hAnsiTheme="minorHAnsi"/>
          <w:bCs/>
          <w:color w:val="000000"/>
          <w:sz w:val="24"/>
          <w:szCs w:val="24"/>
        </w:rPr>
        <w:t xml:space="preserve"> von Texten gesetzt w</w:t>
      </w:r>
      <w:r w:rsidR="00332985">
        <w:rPr>
          <w:rFonts w:asciiTheme="minorHAnsi" w:hAnsiTheme="minorHAnsi"/>
          <w:bCs/>
          <w:color w:val="000000"/>
          <w:sz w:val="24"/>
          <w:szCs w:val="24"/>
        </w:rPr>
        <w:t>erden. Das Reziproke Lehren findet dort seinen Platz, wo auch leistungsstärkere Schülerinnen und Schüler an ihre Grenzen kommen, wo Texterschließung Text“arbeit“ bedeutet. Hier können sie beobachten, dass auch erfahrene Leser („Meisterleser“) sich erst in einen Text eindenken müssen, und erfahren in der Anwendungsphase diese kooperative Lernform als Vorbereitung zur eigenständigen Textanalyse bzw. –interpretation. Ursula Scharnhorst empfiehlt, die folgenden Prinzipien zu berückschtigen:</w:t>
      </w:r>
    </w:p>
    <w:p w14:paraId="0AA5F59C"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Kleine stabile Gruppen von 6-7 Schülern.</w:t>
      </w:r>
    </w:p>
    <w:p w14:paraId="1BCC1394"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Intensive Einführung mit viel Übungsmöglichkeiten, damit die RL-Strategien vertraut / "ritualisiert" werden.</w:t>
      </w:r>
    </w:p>
    <w:p w14:paraId="7F17C730"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Herausfordernde, interessante Texte.</w:t>
      </w:r>
    </w:p>
    <w:p w14:paraId="4E418601"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Relativ homogene Gruppen in Bezug auf das Verständnis von Textinhalten.</w:t>
      </w:r>
    </w:p>
    <w:p w14:paraId="42BEC116"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Modellieren der Lehrperson.</w:t>
      </w:r>
    </w:p>
    <w:p w14:paraId="2B0231F9"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Alle Schüler übernehmen reihum die Leader-Funktion.</w:t>
      </w:r>
    </w:p>
    <w:p w14:paraId="0E43F427" w14:textId="77777777" w:rsidR="00F83DDE" w:rsidRPr="00F83DDE" w:rsidRDefault="00F83DDE" w:rsidP="00F83DDE">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Individualisierte Unterstützung (scaffolding).</w:t>
      </w:r>
    </w:p>
    <w:p w14:paraId="16E65055" w14:textId="26FDE165" w:rsidR="00F83DDE" w:rsidRPr="00332985" w:rsidRDefault="00F83DDE" w:rsidP="008E75F7">
      <w:pPr>
        <w:numPr>
          <w:ilvl w:val="0"/>
          <w:numId w:val="4"/>
        </w:numPr>
        <w:spacing w:before="100" w:beforeAutospacing="1" w:after="100" w:afterAutospacing="1"/>
        <w:rPr>
          <w:rFonts w:eastAsia="Times New Roman" w:cs="Times New Roman"/>
          <w:color w:val="000000"/>
        </w:rPr>
      </w:pPr>
      <w:r w:rsidRPr="00F83DDE">
        <w:rPr>
          <w:rFonts w:eastAsia="Times New Roman" w:cs="Times New Roman"/>
          <w:color w:val="000000"/>
        </w:rPr>
        <w:t>Nicht die RL-Strategien, sondern das Verstehen sind das Ziel des Unterrichts!</w:t>
      </w:r>
      <w:r w:rsidR="00144F02">
        <w:rPr>
          <w:rFonts w:eastAsia="Times New Roman" w:cs="Times New Roman"/>
          <w:color w:val="000000"/>
        </w:rPr>
        <w:t>“</w:t>
      </w:r>
    </w:p>
    <w:p w14:paraId="74430D11" w14:textId="4D94F991" w:rsidR="008E75F7" w:rsidRDefault="008E75F7">
      <w:r>
        <w:t xml:space="preserve">Im Anschluss </w:t>
      </w:r>
      <w:r w:rsidR="00332985">
        <w:t xml:space="preserve">an eine Texterschließung mithilfe des RL </w:t>
      </w:r>
      <w:r>
        <w:t xml:space="preserve">ist </w:t>
      </w:r>
      <w:r w:rsidR="00F83DDE">
        <w:t xml:space="preserve">sinnvoll, </w:t>
      </w:r>
      <w:r>
        <w:t>eine schriftliche Zusammenfassung erstellen zu lassen</w:t>
      </w:r>
      <w:r w:rsidR="00332985">
        <w:t xml:space="preserve"> – entweder am Ende der Unterrichtsstunde oder im Rahmen der Hausaufgabe</w:t>
      </w:r>
      <w:r>
        <w:t>.</w:t>
      </w:r>
      <w:r>
        <w:rPr>
          <w:rStyle w:val="Funotenzeichen"/>
        </w:rPr>
        <w:footnoteReference w:id="3"/>
      </w:r>
      <w:r>
        <w:t xml:space="preserve"> </w:t>
      </w:r>
      <w:r>
        <w:br w:type="page"/>
      </w:r>
    </w:p>
    <w:p w14:paraId="4B593724" w14:textId="77777777" w:rsidR="008547AD" w:rsidRPr="00F83DDE" w:rsidRDefault="008E75F7">
      <w:pPr>
        <w:rPr>
          <w:b/>
        </w:rPr>
      </w:pPr>
      <w:r w:rsidRPr="00F83DDE">
        <w:rPr>
          <w:b/>
        </w:rPr>
        <w:t xml:space="preserve">Beispiel „Modelling“ </w:t>
      </w:r>
    </w:p>
    <w:p w14:paraId="38A5448F" w14:textId="77777777" w:rsidR="00BB7C56" w:rsidRDefault="00BB7C56"/>
    <w:tbl>
      <w:tblPr>
        <w:tblStyle w:val="Tabellenraster"/>
        <w:tblW w:w="0" w:type="auto"/>
        <w:tblLook w:val="04A0" w:firstRow="1" w:lastRow="0" w:firstColumn="1" w:lastColumn="0" w:noHBand="0" w:noVBand="1"/>
      </w:tblPr>
      <w:tblGrid>
        <w:gridCol w:w="4603"/>
        <w:gridCol w:w="4603"/>
      </w:tblGrid>
      <w:tr w:rsidR="00BB7C56" w14:paraId="419D9AF3" w14:textId="77777777" w:rsidTr="00BB7C56">
        <w:tc>
          <w:tcPr>
            <w:tcW w:w="4603" w:type="dxa"/>
          </w:tcPr>
          <w:p w14:paraId="3743EBAE" w14:textId="77777777" w:rsidR="00BB7C56" w:rsidRDefault="00BB7C56">
            <w:pPr>
              <w:rPr>
                <w:rFonts w:asciiTheme="majorHAnsi" w:hAnsiTheme="majorHAnsi"/>
              </w:rPr>
            </w:pPr>
            <w:r w:rsidRPr="00BB7C56">
              <w:rPr>
                <w:rFonts w:asciiTheme="majorHAnsi" w:hAnsiTheme="majorHAnsi"/>
              </w:rPr>
              <w:t>Textvorlage</w:t>
            </w:r>
          </w:p>
          <w:p w14:paraId="43B541DC" w14:textId="77777777" w:rsidR="002C1518" w:rsidRPr="00BB7C56" w:rsidRDefault="002C1518">
            <w:pPr>
              <w:rPr>
                <w:rFonts w:asciiTheme="majorHAnsi" w:hAnsiTheme="majorHAnsi"/>
              </w:rPr>
            </w:pPr>
          </w:p>
        </w:tc>
        <w:tc>
          <w:tcPr>
            <w:tcW w:w="4603" w:type="dxa"/>
          </w:tcPr>
          <w:p w14:paraId="1BAC71FC" w14:textId="76DF6DA5" w:rsidR="00BB7C56" w:rsidRPr="00BB7C56" w:rsidRDefault="00BB7C56">
            <w:pPr>
              <w:rPr>
                <w:rFonts w:asciiTheme="majorHAnsi" w:hAnsiTheme="majorHAnsi"/>
              </w:rPr>
            </w:pPr>
            <w:r w:rsidRPr="00BB7C56">
              <w:rPr>
                <w:rFonts w:asciiTheme="majorHAnsi" w:hAnsiTheme="majorHAnsi"/>
              </w:rPr>
              <w:t>Verbalisierung</w:t>
            </w:r>
            <w:r w:rsidR="00F83DDE">
              <w:rPr>
                <w:rFonts w:asciiTheme="majorHAnsi" w:hAnsiTheme="majorHAnsi"/>
              </w:rPr>
              <w:t xml:space="preserve"> </w:t>
            </w:r>
            <w:r w:rsidR="008E75F7">
              <w:rPr>
                <w:rFonts w:asciiTheme="majorHAnsi" w:hAnsiTheme="majorHAnsi"/>
              </w:rPr>
              <w:t>(lautes Denken)</w:t>
            </w:r>
          </w:p>
        </w:tc>
      </w:tr>
      <w:tr w:rsidR="00BB7C56" w14:paraId="09568E5F" w14:textId="77777777" w:rsidTr="00BB7C56">
        <w:tc>
          <w:tcPr>
            <w:tcW w:w="4603" w:type="dxa"/>
          </w:tcPr>
          <w:p w14:paraId="585295B5" w14:textId="67AED66B" w:rsidR="00ED0029" w:rsidRDefault="00BB7C56" w:rsidP="00BB7C56">
            <w:pPr>
              <w:rPr>
                <w:rFonts w:asciiTheme="majorHAnsi" w:hAnsiTheme="majorHAnsi"/>
                <w:sz w:val="22"/>
                <w:szCs w:val="22"/>
              </w:rPr>
            </w:pPr>
            <w:r w:rsidRPr="00BB7C56">
              <w:rPr>
                <w:rFonts w:asciiTheme="majorHAnsi" w:hAnsiTheme="majorHAnsi"/>
                <w:sz w:val="22"/>
                <w:szCs w:val="22"/>
                <w:u w:val="single"/>
              </w:rPr>
              <w:t>Epochen</w:t>
            </w:r>
            <w:r w:rsidRPr="00BB7C56">
              <w:rPr>
                <w:rFonts w:asciiTheme="majorHAnsi" w:hAnsiTheme="majorHAnsi"/>
                <w:sz w:val="22"/>
                <w:szCs w:val="22"/>
              </w:rPr>
              <w:t xml:space="preserve"> der Literatur- und Kulturgeschichte sind </w:t>
            </w:r>
          </w:p>
          <w:p w14:paraId="377A4AFF" w14:textId="77777777" w:rsidR="00ED0029" w:rsidRDefault="00ED0029" w:rsidP="00BB7C56">
            <w:pPr>
              <w:rPr>
                <w:rFonts w:asciiTheme="majorHAnsi" w:hAnsiTheme="majorHAnsi"/>
                <w:sz w:val="22"/>
                <w:szCs w:val="22"/>
              </w:rPr>
            </w:pPr>
          </w:p>
          <w:p w14:paraId="21C51392" w14:textId="1DEE8CCA" w:rsidR="00ED0029" w:rsidRDefault="00ED0029" w:rsidP="00BB7C56">
            <w:pPr>
              <w:rPr>
                <w:rFonts w:asciiTheme="majorHAnsi" w:hAnsiTheme="majorHAnsi"/>
                <w:sz w:val="22"/>
                <w:szCs w:val="22"/>
              </w:rPr>
            </w:pPr>
          </w:p>
          <w:p w14:paraId="61467978" w14:textId="0CA0CEA8" w:rsidR="00ED0029" w:rsidRPr="00ED0029" w:rsidRDefault="00ED0029" w:rsidP="00BB7C56">
            <w:pPr>
              <w:rPr>
                <w:rFonts w:asciiTheme="majorHAnsi" w:hAnsiTheme="majorHAnsi"/>
                <w:color w:val="FF6600"/>
                <w:sz w:val="22"/>
                <w:szCs w:val="22"/>
              </w:rPr>
            </w:pPr>
            <w:r w:rsidRPr="00ED0029">
              <w:rPr>
                <w:rFonts w:asciiTheme="majorHAnsi" w:hAnsiTheme="majorHAnsi"/>
                <w:color w:val="FF6600"/>
                <w:sz w:val="22"/>
                <w:szCs w:val="22"/>
              </w:rPr>
              <w:t>Der Rechteinhaber hat der on</w:t>
            </w:r>
            <w:r>
              <w:rPr>
                <w:rFonts w:asciiTheme="majorHAnsi" w:hAnsiTheme="majorHAnsi"/>
                <w:color w:val="FF6600"/>
                <w:sz w:val="22"/>
                <w:szCs w:val="22"/>
              </w:rPr>
              <w:t>l</w:t>
            </w:r>
            <w:r w:rsidRPr="00ED0029">
              <w:rPr>
                <w:rFonts w:asciiTheme="majorHAnsi" w:hAnsiTheme="majorHAnsi"/>
                <w:color w:val="FF6600"/>
                <w:sz w:val="22"/>
                <w:szCs w:val="22"/>
              </w:rPr>
              <w:t xml:space="preserve">ine-Nutzung nicht zugestimmt. Der Text kann unter </w:t>
            </w:r>
          </w:p>
          <w:p w14:paraId="6E429D7E" w14:textId="77777777" w:rsidR="00ED0029" w:rsidRPr="00ED0029" w:rsidRDefault="00ED0029" w:rsidP="00BB7C56">
            <w:pPr>
              <w:rPr>
                <w:rFonts w:asciiTheme="majorHAnsi" w:hAnsiTheme="majorHAnsi"/>
                <w:color w:val="FF6600"/>
                <w:sz w:val="22"/>
                <w:szCs w:val="22"/>
              </w:rPr>
            </w:pPr>
          </w:p>
          <w:p w14:paraId="3964C14E" w14:textId="07F21CAC" w:rsidR="00ED0029" w:rsidRPr="00ED0029" w:rsidRDefault="00ED0029" w:rsidP="00BB7C56">
            <w:pPr>
              <w:rPr>
                <w:rFonts w:asciiTheme="majorHAnsi" w:hAnsiTheme="majorHAnsi"/>
                <w:color w:val="FF6600"/>
                <w:sz w:val="22"/>
                <w:szCs w:val="22"/>
              </w:rPr>
            </w:pPr>
            <w:r w:rsidRPr="00ED0029">
              <w:rPr>
                <w:color w:val="FF6600"/>
                <w:sz w:val="22"/>
                <w:szCs w:val="22"/>
              </w:rPr>
              <w:t>www.litde.com/literatur-des-expressionismus/epochenbegriff/</w:t>
            </w:r>
            <w:r w:rsidRPr="00ED0029">
              <w:rPr>
                <w:color w:val="FF6600"/>
                <w:sz w:val="22"/>
                <w:szCs w:val="22"/>
              </w:rPr>
              <w:br/>
              <w:t>rahmenbedingungen-der-epochendefinition.php</w:t>
            </w:r>
          </w:p>
          <w:p w14:paraId="69589F88" w14:textId="77777777" w:rsidR="00ED0029" w:rsidRPr="00ED0029" w:rsidRDefault="00ED0029" w:rsidP="00BB7C56">
            <w:pPr>
              <w:rPr>
                <w:rFonts w:asciiTheme="majorHAnsi" w:hAnsiTheme="majorHAnsi"/>
                <w:color w:val="FF6600"/>
                <w:sz w:val="22"/>
                <w:szCs w:val="22"/>
              </w:rPr>
            </w:pPr>
          </w:p>
          <w:p w14:paraId="07ED0837" w14:textId="77777777" w:rsidR="00ED0029" w:rsidRPr="00ED0029" w:rsidRDefault="00ED0029" w:rsidP="00BB7C56">
            <w:pPr>
              <w:rPr>
                <w:rFonts w:asciiTheme="majorHAnsi" w:hAnsiTheme="majorHAnsi"/>
                <w:color w:val="FF6600"/>
                <w:sz w:val="22"/>
                <w:szCs w:val="22"/>
              </w:rPr>
            </w:pPr>
          </w:p>
          <w:p w14:paraId="208C7BBE" w14:textId="3881B085" w:rsidR="00ED0029" w:rsidRPr="00ED0029" w:rsidRDefault="00EB6777" w:rsidP="00BB7C56">
            <w:pPr>
              <w:rPr>
                <w:rFonts w:asciiTheme="majorHAnsi" w:hAnsiTheme="majorHAnsi"/>
                <w:color w:val="FF6600"/>
                <w:sz w:val="22"/>
                <w:szCs w:val="22"/>
              </w:rPr>
            </w:pPr>
            <w:r>
              <w:rPr>
                <w:rFonts w:asciiTheme="majorHAnsi" w:hAnsiTheme="majorHAnsi"/>
                <w:color w:val="FF6600"/>
                <w:sz w:val="22"/>
                <w:szCs w:val="22"/>
              </w:rPr>
              <w:t>abgerufen</w:t>
            </w:r>
            <w:bookmarkStart w:id="0" w:name="_GoBack"/>
            <w:bookmarkEnd w:id="0"/>
            <w:r w:rsidR="00ED0029" w:rsidRPr="00ED0029">
              <w:rPr>
                <w:rFonts w:asciiTheme="majorHAnsi" w:hAnsiTheme="majorHAnsi"/>
                <w:color w:val="FF6600"/>
                <w:sz w:val="22"/>
                <w:szCs w:val="22"/>
              </w:rPr>
              <w:t xml:space="preserve"> werden.</w:t>
            </w:r>
          </w:p>
          <w:p w14:paraId="4873E83D" w14:textId="77777777" w:rsidR="00ED0029" w:rsidRPr="00ED0029" w:rsidRDefault="00ED0029" w:rsidP="00BB7C56">
            <w:pPr>
              <w:rPr>
                <w:rFonts w:asciiTheme="majorHAnsi" w:hAnsiTheme="majorHAnsi"/>
                <w:color w:val="FF6600"/>
                <w:sz w:val="22"/>
                <w:szCs w:val="22"/>
              </w:rPr>
            </w:pPr>
          </w:p>
          <w:p w14:paraId="564E4447" w14:textId="734624A1" w:rsidR="00BB7C56" w:rsidRPr="00BB7C56" w:rsidRDefault="00BB7C56" w:rsidP="00BB7C56">
            <w:pPr>
              <w:rPr>
                <w:rFonts w:asciiTheme="majorHAnsi" w:hAnsiTheme="majorHAnsi"/>
              </w:rPr>
            </w:pPr>
            <w:r w:rsidRPr="00BB7C56">
              <w:rPr>
                <w:rFonts w:asciiTheme="majorHAnsi" w:hAnsiTheme="majorHAnsi"/>
                <w:sz w:val="22"/>
                <w:szCs w:val="22"/>
              </w:rPr>
              <w:t>ein Flugblatt oder der Rundfunk.</w:t>
            </w:r>
          </w:p>
          <w:p w14:paraId="139E3621" w14:textId="77777777" w:rsidR="00BB7C56" w:rsidRPr="00BB7C56" w:rsidRDefault="00BB7C56">
            <w:pPr>
              <w:rPr>
                <w:rFonts w:asciiTheme="majorHAnsi" w:hAnsiTheme="majorHAnsi"/>
              </w:rPr>
            </w:pPr>
          </w:p>
        </w:tc>
        <w:tc>
          <w:tcPr>
            <w:tcW w:w="4603" w:type="dxa"/>
          </w:tcPr>
          <w:p w14:paraId="378F5DC4" w14:textId="77777777" w:rsidR="00BB7C56" w:rsidRDefault="00BB7C56" w:rsidP="00BB7C56">
            <w:pPr>
              <w:rPr>
                <w:rFonts w:asciiTheme="majorHAnsi" w:hAnsiTheme="majorHAnsi"/>
                <w:sz w:val="22"/>
                <w:szCs w:val="22"/>
              </w:rPr>
            </w:pPr>
            <w:r w:rsidRPr="00BB7C56">
              <w:rPr>
                <w:rFonts w:asciiTheme="majorHAnsi" w:hAnsiTheme="majorHAnsi"/>
                <w:sz w:val="22"/>
                <w:szCs w:val="22"/>
              </w:rPr>
              <w:t xml:space="preserve">„Ich </w:t>
            </w:r>
            <w:r>
              <w:rPr>
                <w:rFonts w:asciiTheme="majorHAnsi" w:hAnsiTheme="majorHAnsi"/>
                <w:sz w:val="22"/>
                <w:szCs w:val="22"/>
              </w:rPr>
              <w:t>erkenne, dass der erste und zweite Satz eng zusammenhängen. In beiden Sätzen wird gesagt, dass Epochen nicht wirklich existieren und dass es sie nicht (wirklich) gibt. Dass sie also nicht real sind.</w:t>
            </w:r>
          </w:p>
          <w:p w14:paraId="120CF083" w14:textId="77777777" w:rsidR="00BB7C56" w:rsidRDefault="00BB7C56" w:rsidP="00BB7C56">
            <w:pPr>
              <w:rPr>
                <w:rFonts w:asciiTheme="majorHAnsi" w:hAnsiTheme="majorHAnsi"/>
                <w:sz w:val="22"/>
                <w:szCs w:val="22"/>
              </w:rPr>
            </w:pPr>
            <w:r>
              <w:rPr>
                <w:rFonts w:asciiTheme="majorHAnsi" w:hAnsiTheme="majorHAnsi"/>
                <w:sz w:val="22"/>
                <w:szCs w:val="22"/>
              </w:rPr>
              <w:t xml:space="preserve">Im dritten Satz steht dann aber, was es real gibt, nämlich die „greifbaren Träger von Poesie“: Das sind Autoren und Medien. </w:t>
            </w:r>
          </w:p>
          <w:p w14:paraId="15738FEF" w14:textId="77777777" w:rsidR="00BB7C56" w:rsidRDefault="00BB7C56" w:rsidP="000D41F4">
            <w:pPr>
              <w:rPr>
                <w:rFonts w:asciiTheme="majorHAnsi" w:hAnsiTheme="majorHAnsi"/>
                <w:sz w:val="22"/>
                <w:szCs w:val="22"/>
              </w:rPr>
            </w:pPr>
            <w:r>
              <w:rPr>
                <w:rFonts w:asciiTheme="majorHAnsi" w:hAnsiTheme="majorHAnsi"/>
                <w:sz w:val="22"/>
                <w:szCs w:val="22"/>
              </w:rPr>
              <w:t xml:space="preserve">Anschließend wird etwas über die Autoren gesagt. Sie werden </w:t>
            </w:r>
            <w:r w:rsidR="000D41F4">
              <w:rPr>
                <w:rFonts w:asciiTheme="majorHAnsi" w:hAnsiTheme="majorHAnsi"/>
                <w:sz w:val="22"/>
                <w:szCs w:val="22"/>
              </w:rPr>
              <w:t>im nächsten Satz nämlich Schriftsteller genannt. Sie schreiben Texte und präsentieren die Texte. Mit „präsentieren“ könnte gemeint sein, dass sie die Texte veröffentlichen oder vorlesen.</w:t>
            </w:r>
          </w:p>
          <w:p w14:paraId="0D657C19" w14:textId="77777777" w:rsidR="002C1518" w:rsidRPr="00BB7C56" w:rsidRDefault="002C1518" w:rsidP="002C1518">
            <w:pPr>
              <w:rPr>
                <w:rFonts w:asciiTheme="majorHAnsi" w:hAnsiTheme="majorHAnsi"/>
                <w:sz w:val="22"/>
                <w:szCs w:val="22"/>
              </w:rPr>
            </w:pPr>
            <w:r>
              <w:rPr>
                <w:rFonts w:asciiTheme="majorHAnsi" w:hAnsiTheme="majorHAnsi"/>
                <w:sz w:val="22"/>
                <w:szCs w:val="22"/>
              </w:rPr>
              <w:t>„Materielle Vermittler“ sind dann die Medien, z. B. Bücher, die man dann lesen kann.</w:t>
            </w:r>
          </w:p>
        </w:tc>
      </w:tr>
    </w:tbl>
    <w:p w14:paraId="4A7F21E6" w14:textId="77777777" w:rsidR="0036455A" w:rsidRDefault="0036455A"/>
    <w:p w14:paraId="21E7C515" w14:textId="77777777" w:rsidR="008E75F7" w:rsidRDefault="008E75F7" w:rsidP="008E75F7">
      <w:pPr>
        <w:spacing w:line="360" w:lineRule="auto"/>
        <w:rPr>
          <w:rFonts w:asciiTheme="majorHAnsi" w:hAnsiTheme="majorHAnsi"/>
          <w:b/>
          <w:sz w:val="22"/>
          <w:szCs w:val="22"/>
        </w:rPr>
      </w:pPr>
    </w:p>
    <w:p w14:paraId="5380872D" w14:textId="77777777" w:rsidR="008E75F7" w:rsidRPr="008E75F7" w:rsidRDefault="008E75F7" w:rsidP="008E75F7">
      <w:pPr>
        <w:spacing w:line="360" w:lineRule="auto"/>
        <w:rPr>
          <w:rFonts w:asciiTheme="majorHAnsi" w:hAnsiTheme="majorHAnsi"/>
          <w:b/>
          <w:sz w:val="22"/>
          <w:szCs w:val="22"/>
        </w:rPr>
      </w:pPr>
      <w:r w:rsidRPr="008E75F7">
        <w:rPr>
          <w:rFonts w:asciiTheme="majorHAnsi" w:hAnsiTheme="majorHAnsi"/>
          <w:b/>
          <w:sz w:val="22"/>
          <w:szCs w:val="22"/>
        </w:rPr>
        <w:t>Anwendung der Strategien</w:t>
      </w:r>
    </w:p>
    <w:p w14:paraId="04CEAD4E" w14:textId="77777777" w:rsidR="008E75F7" w:rsidRPr="008E75F7" w:rsidRDefault="008E75F7" w:rsidP="008E75F7">
      <w:pPr>
        <w:spacing w:line="360" w:lineRule="auto"/>
        <w:rPr>
          <w:rFonts w:asciiTheme="majorHAnsi" w:hAnsiTheme="majorHAnsi"/>
          <w:sz w:val="22"/>
          <w:szCs w:val="22"/>
        </w:rPr>
      </w:pPr>
      <w:r w:rsidRPr="008E75F7">
        <w:rPr>
          <w:rFonts w:asciiTheme="majorHAnsi" w:hAnsiTheme="majorHAnsi"/>
          <w:b/>
          <w:sz w:val="22"/>
          <w:szCs w:val="22"/>
        </w:rPr>
        <w:t xml:space="preserve">Fragen: </w:t>
      </w:r>
      <w:r w:rsidRPr="008E75F7">
        <w:rPr>
          <w:rFonts w:asciiTheme="majorHAnsi" w:hAnsiTheme="majorHAnsi"/>
          <w:sz w:val="22"/>
          <w:szCs w:val="22"/>
        </w:rPr>
        <w:t xml:space="preserve">Was sind Epochen? Worin wird eine Epoche greifbar? </w:t>
      </w:r>
    </w:p>
    <w:p w14:paraId="027EF4CE" w14:textId="0860E1D3" w:rsidR="008E75F7" w:rsidRPr="008E75F7" w:rsidRDefault="008E75F7" w:rsidP="008E75F7">
      <w:pPr>
        <w:spacing w:line="360" w:lineRule="auto"/>
        <w:rPr>
          <w:rFonts w:asciiTheme="majorHAnsi" w:hAnsiTheme="majorHAnsi"/>
          <w:b/>
          <w:sz w:val="22"/>
          <w:szCs w:val="22"/>
        </w:rPr>
      </w:pPr>
      <w:r w:rsidRPr="008E75F7">
        <w:rPr>
          <w:rFonts w:asciiTheme="majorHAnsi" w:hAnsiTheme="majorHAnsi"/>
          <w:b/>
          <w:sz w:val="22"/>
          <w:szCs w:val="22"/>
        </w:rPr>
        <w:t xml:space="preserve">Zusammenfassen: </w:t>
      </w:r>
      <w:r w:rsidRPr="008E75F7">
        <w:rPr>
          <w:rFonts w:asciiTheme="majorHAnsi" w:hAnsiTheme="majorHAnsi"/>
          <w:sz w:val="22"/>
          <w:szCs w:val="22"/>
        </w:rPr>
        <w:t>Autoren und bestimmte Medien vermitteln die Poesie einer Epoche.</w:t>
      </w:r>
    </w:p>
    <w:p w14:paraId="5B8236E9" w14:textId="77777777" w:rsidR="008E75F7" w:rsidRPr="008E75F7" w:rsidRDefault="008E75F7" w:rsidP="008E75F7">
      <w:pPr>
        <w:spacing w:line="360" w:lineRule="auto"/>
        <w:rPr>
          <w:rFonts w:asciiTheme="majorHAnsi" w:hAnsiTheme="majorHAnsi"/>
          <w:sz w:val="22"/>
          <w:szCs w:val="22"/>
        </w:rPr>
      </w:pPr>
      <w:r w:rsidRPr="008E75F7">
        <w:rPr>
          <w:rFonts w:asciiTheme="majorHAnsi" w:hAnsiTheme="majorHAnsi"/>
          <w:b/>
          <w:sz w:val="22"/>
          <w:szCs w:val="22"/>
        </w:rPr>
        <w:t>Klären:</w:t>
      </w:r>
      <w:r w:rsidRPr="008E75F7">
        <w:rPr>
          <w:rFonts w:asciiTheme="majorHAnsi" w:hAnsiTheme="majorHAnsi"/>
          <w:sz w:val="22"/>
          <w:szCs w:val="22"/>
        </w:rPr>
        <w:t xml:space="preserve"> Was heißt „real“, „Poesie“, „materieller Vermittler“, „fungiert“, </w:t>
      </w:r>
    </w:p>
    <w:p w14:paraId="2D816BB4" w14:textId="64F62D41" w:rsidR="008E75F7" w:rsidRPr="008E75F7" w:rsidRDefault="008E75F7" w:rsidP="008E75F7">
      <w:pPr>
        <w:spacing w:line="360" w:lineRule="auto"/>
        <w:rPr>
          <w:rFonts w:asciiTheme="majorHAnsi" w:hAnsiTheme="majorHAnsi"/>
          <w:sz w:val="22"/>
          <w:szCs w:val="22"/>
        </w:rPr>
      </w:pPr>
      <w:r w:rsidRPr="008E75F7">
        <w:rPr>
          <w:rFonts w:asciiTheme="majorHAnsi" w:hAnsiTheme="majorHAnsi"/>
          <w:b/>
          <w:sz w:val="22"/>
          <w:szCs w:val="22"/>
        </w:rPr>
        <w:t>Vorhersagen:</w:t>
      </w:r>
      <w:r w:rsidRPr="008E75F7">
        <w:rPr>
          <w:rFonts w:asciiTheme="majorHAnsi" w:hAnsiTheme="majorHAnsi"/>
          <w:sz w:val="22"/>
          <w:szCs w:val="22"/>
        </w:rPr>
        <w:t xml:space="preserve"> Es wird </w:t>
      </w:r>
      <w:r w:rsidR="00F83DDE">
        <w:rPr>
          <w:rFonts w:asciiTheme="majorHAnsi" w:hAnsiTheme="majorHAnsi"/>
          <w:sz w:val="22"/>
          <w:szCs w:val="22"/>
        </w:rPr>
        <w:t xml:space="preserve">im folgenden Abschnitt möglicherweise </w:t>
      </w:r>
      <w:r w:rsidRPr="008E75F7">
        <w:rPr>
          <w:rFonts w:asciiTheme="majorHAnsi" w:hAnsiTheme="majorHAnsi"/>
          <w:sz w:val="22"/>
          <w:szCs w:val="22"/>
        </w:rPr>
        <w:t>definiert, was eine Epoche ist.</w:t>
      </w:r>
    </w:p>
    <w:sectPr w:rsidR="008E75F7" w:rsidRPr="008E75F7" w:rsidSect="007254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95D51" w14:textId="77777777" w:rsidR="00332985" w:rsidRDefault="00332985" w:rsidP="008547AD">
      <w:r>
        <w:separator/>
      </w:r>
    </w:p>
  </w:endnote>
  <w:endnote w:type="continuationSeparator" w:id="0">
    <w:p w14:paraId="4DF4AAF1" w14:textId="77777777" w:rsidR="00332985" w:rsidRDefault="00332985" w:rsidP="0085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DA7D0" w14:textId="77777777" w:rsidR="00332985" w:rsidRDefault="00332985" w:rsidP="008547AD">
      <w:r>
        <w:separator/>
      </w:r>
    </w:p>
  </w:footnote>
  <w:footnote w:type="continuationSeparator" w:id="0">
    <w:p w14:paraId="1EF48D66" w14:textId="77777777" w:rsidR="00332985" w:rsidRDefault="00332985" w:rsidP="008547AD">
      <w:r>
        <w:continuationSeparator/>
      </w:r>
    </w:p>
  </w:footnote>
  <w:footnote w:id="1">
    <w:p w14:paraId="4F9B71AA" w14:textId="19F2C7CA" w:rsidR="00332985" w:rsidRDefault="00332985">
      <w:pPr>
        <w:pStyle w:val="Funotentext"/>
      </w:pPr>
      <w:r>
        <w:rPr>
          <w:rStyle w:val="Funotenzeichen"/>
        </w:rPr>
        <w:footnoteRef/>
      </w:r>
      <w:r>
        <w:t xml:space="preserve"> </w:t>
      </w:r>
      <w:r w:rsidRPr="00F83DDE">
        <w:t>https://www.lernensichtbarmachen.ch/wp-content/uploads/2016/06/Reziprokes-Lehren_Faktor-unter-der-Lupe_Final.pdf</w:t>
      </w:r>
    </w:p>
  </w:footnote>
  <w:footnote w:id="2">
    <w:p w14:paraId="7E27C269" w14:textId="7CA86F67" w:rsidR="00332985" w:rsidRDefault="00332985">
      <w:pPr>
        <w:pStyle w:val="Funotentext"/>
      </w:pPr>
      <w:r>
        <w:rPr>
          <w:rStyle w:val="Funotenzeichen"/>
        </w:rPr>
        <w:footnoteRef/>
      </w:r>
      <w:r>
        <w:t xml:space="preserve"> </w:t>
      </w:r>
      <w:r w:rsidRPr="00144F02">
        <w:t>http://www.pfm.ehb-schweiz1.ch/unterlagen/Sprachfoerderung/Reziprokes_Lehren_US/reziprokes_lehren.htm</w:t>
      </w:r>
    </w:p>
  </w:footnote>
  <w:footnote w:id="3">
    <w:p w14:paraId="3B010B3F" w14:textId="77777777" w:rsidR="00332985" w:rsidRDefault="00332985">
      <w:pPr>
        <w:pStyle w:val="Funotentext"/>
      </w:pPr>
      <w:r>
        <w:rPr>
          <w:rStyle w:val="Funotenzeichen"/>
        </w:rPr>
        <w:footnoteRef/>
      </w:r>
      <w:r>
        <w:t xml:space="preserve"> siehe: </w:t>
      </w:r>
      <w:r w:rsidRPr="008E75F7">
        <w:rPr>
          <w:sz w:val="22"/>
          <w:szCs w:val="22"/>
        </w:rPr>
        <w:t>Rosebrock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B4"/>
    <w:multiLevelType w:val="multilevel"/>
    <w:tmpl w:val="E1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90B0F"/>
    <w:multiLevelType w:val="multilevel"/>
    <w:tmpl w:val="E466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57B91"/>
    <w:multiLevelType w:val="hybridMultilevel"/>
    <w:tmpl w:val="91560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520AAD"/>
    <w:multiLevelType w:val="multilevel"/>
    <w:tmpl w:val="7D3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AD"/>
    <w:rsid w:val="000D41F4"/>
    <w:rsid w:val="00144F02"/>
    <w:rsid w:val="002C1518"/>
    <w:rsid w:val="00332985"/>
    <w:rsid w:val="0036455A"/>
    <w:rsid w:val="005D395A"/>
    <w:rsid w:val="00725499"/>
    <w:rsid w:val="008547AD"/>
    <w:rsid w:val="008E75F7"/>
    <w:rsid w:val="00BB7C56"/>
    <w:rsid w:val="00C07813"/>
    <w:rsid w:val="00EB6777"/>
    <w:rsid w:val="00ED0029"/>
    <w:rsid w:val="00F83D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1D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8547AD"/>
  </w:style>
  <w:style w:type="character" w:customStyle="1" w:styleId="FunotentextZeichen">
    <w:name w:val="Fußnotentext Zeichen"/>
    <w:basedOn w:val="Absatzstandardschriftart"/>
    <w:link w:val="Funotentext"/>
    <w:uiPriority w:val="99"/>
    <w:rsid w:val="008547AD"/>
  </w:style>
  <w:style w:type="character" w:styleId="Funotenzeichen">
    <w:name w:val="footnote reference"/>
    <w:basedOn w:val="Absatzstandardschriftart"/>
    <w:uiPriority w:val="99"/>
    <w:unhideWhenUsed/>
    <w:rsid w:val="008547AD"/>
    <w:rPr>
      <w:vertAlign w:val="superscript"/>
    </w:rPr>
  </w:style>
  <w:style w:type="character" w:styleId="Link">
    <w:name w:val="Hyperlink"/>
    <w:basedOn w:val="Absatzstandardschriftart"/>
    <w:uiPriority w:val="99"/>
    <w:unhideWhenUsed/>
    <w:rsid w:val="008547AD"/>
    <w:rPr>
      <w:color w:val="0000FF" w:themeColor="hyperlink"/>
      <w:u w:val="single"/>
    </w:rPr>
  </w:style>
  <w:style w:type="table" w:styleId="Tabellenraster">
    <w:name w:val="Table Grid"/>
    <w:basedOn w:val="NormaleTabelle"/>
    <w:uiPriority w:val="59"/>
    <w:rsid w:val="00BB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E75F7"/>
    <w:pPr>
      <w:ind w:left="720"/>
      <w:contextualSpacing/>
    </w:pPr>
  </w:style>
  <w:style w:type="paragraph" w:styleId="StandardWeb">
    <w:name w:val="Normal (Web)"/>
    <w:basedOn w:val="Standard"/>
    <w:uiPriority w:val="99"/>
    <w:semiHidden/>
    <w:unhideWhenUsed/>
    <w:rsid w:val="00F83D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F83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8547AD"/>
  </w:style>
  <w:style w:type="character" w:customStyle="1" w:styleId="FunotentextZeichen">
    <w:name w:val="Fußnotentext Zeichen"/>
    <w:basedOn w:val="Absatzstandardschriftart"/>
    <w:link w:val="Funotentext"/>
    <w:uiPriority w:val="99"/>
    <w:rsid w:val="008547AD"/>
  </w:style>
  <w:style w:type="character" w:styleId="Funotenzeichen">
    <w:name w:val="footnote reference"/>
    <w:basedOn w:val="Absatzstandardschriftart"/>
    <w:uiPriority w:val="99"/>
    <w:unhideWhenUsed/>
    <w:rsid w:val="008547AD"/>
    <w:rPr>
      <w:vertAlign w:val="superscript"/>
    </w:rPr>
  </w:style>
  <w:style w:type="character" w:styleId="Link">
    <w:name w:val="Hyperlink"/>
    <w:basedOn w:val="Absatzstandardschriftart"/>
    <w:uiPriority w:val="99"/>
    <w:unhideWhenUsed/>
    <w:rsid w:val="008547AD"/>
    <w:rPr>
      <w:color w:val="0000FF" w:themeColor="hyperlink"/>
      <w:u w:val="single"/>
    </w:rPr>
  </w:style>
  <w:style w:type="table" w:styleId="Tabellenraster">
    <w:name w:val="Table Grid"/>
    <w:basedOn w:val="NormaleTabelle"/>
    <w:uiPriority w:val="59"/>
    <w:rsid w:val="00BB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E75F7"/>
    <w:pPr>
      <w:ind w:left="720"/>
      <w:contextualSpacing/>
    </w:pPr>
  </w:style>
  <w:style w:type="paragraph" w:styleId="StandardWeb">
    <w:name w:val="Normal (Web)"/>
    <w:basedOn w:val="Standard"/>
    <w:uiPriority w:val="99"/>
    <w:semiHidden/>
    <w:unhideWhenUsed/>
    <w:rsid w:val="00F83D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F8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134">
      <w:bodyDiv w:val="1"/>
      <w:marLeft w:val="0"/>
      <w:marRight w:val="0"/>
      <w:marTop w:val="0"/>
      <w:marBottom w:val="0"/>
      <w:divBdr>
        <w:top w:val="none" w:sz="0" w:space="0" w:color="auto"/>
        <w:left w:val="none" w:sz="0" w:space="0" w:color="auto"/>
        <w:bottom w:val="none" w:sz="0" w:space="0" w:color="auto"/>
        <w:right w:val="none" w:sz="0" w:space="0" w:color="auto"/>
      </w:divBdr>
    </w:div>
    <w:div w:id="1792092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4176</Characters>
  <Application>Microsoft Macintosh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5</cp:revision>
  <dcterms:created xsi:type="dcterms:W3CDTF">2018-02-12T20:25:00Z</dcterms:created>
  <dcterms:modified xsi:type="dcterms:W3CDTF">2018-04-14T08:13:00Z</dcterms:modified>
</cp:coreProperties>
</file>