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2BD58" w14:textId="77777777" w:rsidR="008078FC" w:rsidRPr="008078FC" w:rsidRDefault="008078FC" w:rsidP="008078FC">
      <w:pPr>
        <w:rPr>
          <w:rFonts w:asciiTheme="minorHAnsi" w:eastAsia="Times New Roman" w:hAnsiTheme="minorHAnsi" w:cs="Times New Roman"/>
          <w:b/>
          <w:sz w:val="24"/>
          <w:szCs w:val="24"/>
        </w:rPr>
      </w:pPr>
      <w:r w:rsidRPr="008078FC">
        <w:rPr>
          <w:rFonts w:asciiTheme="minorHAnsi" w:eastAsia="Times New Roman" w:hAnsiTheme="minorHAnsi" w:cs="Times New Roman"/>
          <w:b/>
          <w:sz w:val="24"/>
          <w:szCs w:val="24"/>
        </w:rPr>
        <w:t xml:space="preserve">Anforderungen an </w:t>
      </w:r>
      <w:r>
        <w:rPr>
          <w:rFonts w:asciiTheme="minorHAnsi" w:eastAsia="Times New Roman" w:hAnsiTheme="minorHAnsi" w:cs="Times New Roman"/>
          <w:b/>
          <w:sz w:val="24"/>
          <w:szCs w:val="24"/>
        </w:rPr>
        <w:t>Lehrer-Schüler-Feed</w:t>
      </w:r>
      <w:r w:rsidR="0033467F">
        <w:rPr>
          <w:rFonts w:asciiTheme="minorHAnsi" w:eastAsia="Times New Roman" w:hAnsiTheme="minorHAnsi" w:cs="Times New Roman"/>
          <w:b/>
          <w:sz w:val="24"/>
          <w:szCs w:val="24"/>
        </w:rPr>
        <w:t>b</w:t>
      </w:r>
      <w:bookmarkStart w:id="0" w:name="_GoBack"/>
      <w:bookmarkEnd w:id="0"/>
      <w:r>
        <w:rPr>
          <w:rFonts w:asciiTheme="minorHAnsi" w:eastAsia="Times New Roman" w:hAnsiTheme="minorHAnsi" w:cs="Times New Roman"/>
          <w:b/>
          <w:sz w:val="24"/>
          <w:szCs w:val="24"/>
        </w:rPr>
        <w:t>ack</w:t>
      </w:r>
    </w:p>
    <w:p w14:paraId="74269BBA" w14:textId="77777777" w:rsidR="008078FC" w:rsidRPr="008078FC" w:rsidRDefault="008078FC" w:rsidP="008078FC">
      <w:pPr>
        <w:rPr>
          <w:rFonts w:asciiTheme="minorHAnsi" w:eastAsia="Times New Roman" w:hAnsiTheme="minorHAnsi" w:cs="Times New Roman"/>
          <w:b/>
        </w:rPr>
      </w:pPr>
    </w:p>
    <w:p w14:paraId="083128B5" w14:textId="77777777" w:rsidR="008078FC" w:rsidRDefault="008078FC" w:rsidP="008078FC">
      <w:pPr>
        <w:rPr>
          <w:rFonts w:asciiTheme="minorHAnsi" w:eastAsia="Times New Roman" w:hAnsiTheme="minorHAnsi" w:cs="Times New Roman"/>
          <w:b/>
        </w:rPr>
      </w:pPr>
      <w:r>
        <w:rPr>
          <w:rFonts w:asciiTheme="minorHAnsi" w:eastAsia="Times New Roman" w:hAnsiTheme="minorHAnsi" w:cs="Times New Roman"/>
          <w:noProof/>
          <w:lang w:eastAsia="de-DE"/>
        </w:rPr>
        <mc:AlternateContent>
          <mc:Choice Requires="wps">
            <w:drawing>
              <wp:anchor distT="0" distB="0" distL="114300" distR="114300" simplePos="0" relativeHeight="251659264" behindDoc="0" locked="0" layoutInCell="1" allowOverlap="1" wp14:anchorId="5AB3AF1F" wp14:editId="3A520FDB">
                <wp:simplePos x="0" y="0"/>
                <wp:positionH relativeFrom="column">
                  <wp:posOffset>228600</wp:posOffset>
                </wp:positionH>
                <wp:positionV relativeFrom="paragraph">
                  <wp:posOffset>25400</wp:posOffset>
                </wp:positionV>
                <wp:extent cx="2628900" cy="2514600"/>
                <wp:effectExtent l="50800" t="25400" r="927100" b="101600"/>
                <wp:wrapThrough wrapText="bothSides">
                  <wp:wrapPolygon edited="0">
                    <wp:start x="8348" y="-218"/>
                    <wp:lineTo x="2296" y="0"/>
                    <wp:lineTo x="2296" y="3491"/>
                    <wp:lineTo x="0" y="3491"/>
                    <wp:lineTo x="-417" y="6982"/>
                    <wp:lineTo x="-417" y="13745"/>
                    <wp:lineTo x="-209" y="15491"/>
                    <wp:lineTo x="1461" y="17455"/>
                    <wp:lineTo x="1461" y="18545"/>
                    <wp:lineTo x="5426" y="20945"/>
                    <wp:lineTo x="5426" y="21164"/>
                    <wp:lineTo x="8139" y="22036"/>
                    <wp:lineTo x="8557" y="22255"/>
                    <wp:lineTo x="13148" y="22255"/>
                    <wp:lineTo x="13357" y="22036"/>
                    <wp:lineTo x="16278" y="20945"/>
                    <wp:lineTo x="16487" y="20945"/>
                    <wp:lineTo x="20243" y="17673"/>
                    <wp:lineTo x="20452" y="17455"/>
                    <wp:lineTo x="21913" y="13964"/>
                    <wp:lineTo x="22539" y="10473"/>
                    <wp:lineTo x="24209" y="6982"/>
                    <wp:lineTo x="28591" y="3491"/>
                    <wp:lineTo x="29009" y="1964"/>
                    <wp:lineTo x="21496" y="0"/>
                    <wp:lineTo x="13357" y="-218"/>
                    <wp:lineTo x="8348" y="-218"/>
                  </wp:wrapPolygon>
                </wp:wrapThrough>
                <wp:docPr id="8" name="Ovale Legende 8"/>
                <wp:cNvGraphicFramePr/>
                <a:graphic xmlns:a="http://schemas.openxmlformats.org/drawingml/2006/main">
                  <a:graphicData uri="http://schemas.microsoft.com/office/word/2010/wordprocessingShape">
                    <wps:wsp>
                      <wps:cNvSpPr/>
                      <wps:spPr>
                        <a:xfrm>
                          <a:off x="0" y="0"/>
                          <a:ext cx="2628900" cy="2514600"/>
                        </a:xfrm>
                        <a:prstGeom prst="wedgeEllipseCallout">
                          <a:avLst>
                            <a:gd name="adj1" fmla="val 83838"/>
                            <a:gd name="adj2" fmla="val -39521"/>
                          </a:avLst>
                        </a:prstGeom>
                      </wps:spPr>
                      <wps:style>
                        <a:lnRef idx="1">
                          <a:schemeClr val="accent1"/>
                        </a:lnRef>
                        <a:fillRef idx="3">
                          <a:schemeClr val="accent1"/>
                        </a:fillRef>
                        <a:effectRef idx="2">
                          <a:schemeClr val="accent1"/>
                        </a:effectRef>
                        <a:fontRef idx="minor">
                          <a:schemeClr val="lt1"/>
                        </a:fontRef>
                      </wps:style>
                      <wps:txbx>
                        <w:txbxContent>
                          <w:p w14:paraId="58688019" w14:textId="77777777" w:rsidR="008078FC" w:rsidRPr="00412E12" w:rsidRDefault="008078FC" w:rsidP="008078FC">
                            <w:pPr>
                              <w:jc w:val="center"/>
                            </w:pPr>
                            <w:r w:rsidRPr="00412E12">
                              <w:t>„Als ich die erste Synthese von 134 Metaanalysen aller möglichen Einflüsse auf die Lernleistung fertiggestellt hatte (Hattie, 1992), wurde mir schnell klar, dass Feedback zu den stärksten Einflüssen auf die Leistung zählt. (...)</w:t>
                            </w:r>
                          </w:p>
                          <w:p w14:paraId="3C072EBA" w14:textId="77777777" w:rsidR="008078FC" w:rsidRPr="00412E12" w:rsidRDefault="008078FC" w:rsidP="008078FC">
                            <w:pPr>
                              <w:jc w:val="center"/>
                            </w:pPr>
                            <w:r w:rsidRPr="00412E12">
                              <w:t xml:space="preserve">Ich verbrachte viele Stunden in Klassenzimmern (wo mir die Abwesenheit von Feedback auffiel, auch wenn die besten Lehrpersonen versicherten, sie würden doch ständig Feedback geben).“ </w:t>
                            </w:r>
                          </w:p>
                          <w:p w14:paraId="7A9861C5" w14:textId="77777777" w:rsidR="008078FC" w:rsidRDefault="008078FC" w:rsidP="008078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8" o:spid="_x0000_s1026" type="#_x0000_t63" style="position:absolute;margin-left:18pt;margin-top:2pt;width:207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" adj="28909,2263" fillcolor="#4f81bd [3204]" strokecolor="#4579b8 [3044]">
                <v:fill color2="#a7bfde [1620]" rotate="t" type="gradient">
                  <o:fill v:ext="view" type="gradientUnscaled"/>
                </v:fill>
                <v:shadow on="t" opacity="22937f" mv:blur="40000f" origin=",.5" offset="0,23000emu"/>
                <v:textbox>
                  <w:txbxContent>
                    <w:p w14:paraId="58688019" w14:textId="77777777" w:rsidR="008078FC" w:rsidRPr="00412E12" w:rsidRDefault="008078FC" w:rsidP="008078FC">
                      <w:pPr>
                        <w:jc w:val="center"/>
                      </w:pPr>
                      <w:r w:rsidRPr="00412E12">
                        <w:t>„Als ich die erste Synthese von 134 Metaanalysen aller möglichen Einflüsse auf die Lernleistung fertiggestellt hatte (Hattie, 1992), wurde mir schnell klar, dass Feedback zu den stärksten Einflüssen auf die Leistung zählt. (...)</w:t>
                      </w:r>
                    </w:p>
                    <w:p w14:paraId="3C072EBA" w14:textId="77777777" w:rsidR="008078FC" w:rsidRPr="00412E12" w:rsidRDefault="008078FC" w:rsidP="008078FC">
                      <w:pPr>
                        <w:jc w:val="center"/>
                      </w:pPr>
                      <w:r w:rsidRPr="00412E12">
                        <w:t xml:space="preserve">Ich verbrachte viele Stunden in Klassenzimmern (wo mir die Abwesenheit von Feedback auffiel, auch wenn die besten Lehrpersonen versicherten, sie würden doch ständig Feedback geben).“ </w:t>
                      </w:r>
                    </w:p>
                    <w:p w14:paraId="7A9861C5" w14:textId="77777777" w:rsidR="008078FC" w:rsidRDefault="008078FC" w:rsidP="008078FC">
                      <w:pPr>
                        <w:jc w:val="center"/>
                      </w:pPr>
                    </w:p>
                  </w:txbxContent>
                </v:textbox>
                <w10:wrap type="through"/>
              </v:shape>
            </w:pict>
          </mc:Fallback>
        </mc:AlternateContent>
      </w:r>
    </w:p>
    <w:p w14:paraId="60F35E3A" w14:textId="77777777" w:rsidR="008078FC" w:rsidRDefault="008078FC" w:rsidP="008078FC">
      <w:pPr>
        <w:rPr>
          <w:rFonts w:asciiTheme="minorHAnsi" w:eastAsia="Times New Roman" w:hAnsiTheme="minorHAnsi" w:cs="Times New Roman"/>
          <w:b/>
        </w:rPr>
      </w:pPr>
    </w:p>
    <w:p w14:paraId="7372B2EE" w14:textId="77777777" w:rsidR="008078FC" w:rsidRDefault="008078FC" w:rsidP="008078FC">
      <w:pPr>
        <w:rPr>
          <w:rFonts w:asciiTheme="minorHAnsi" w:eastAsia="Times New Roman" w:hAnsiTheme="minorHAnsi" w:cs="Times New Roman"/>
          <w:b/>
        </w:rPr>
      </w:pPr>
    </w:p>
    <w:p w14:paraId="124748D4" w14:textId="77777777" w:rsidR="008078FC" w:rsidRDefault="008078FC" w:rsidP="008078FC">
      <w:pPr>
        <w:rPr>
          <w:rFonts w:asciiTheme="minorHAnsi" w:eastAsia="Times New Roman" w:hAnsiTheme="minorHAnsi" w:cs="Times New Roman"/>
          <w:b/>
        </w:rPr>
      </w:pPr>
    </w:p>
    <w:p w14:paraId="53C1A3F0" w14:textId="77777777" w:rsidR="008078FC" w:rsidRPr="00DE6F8A" w:rsidRDefault="008078FC" w:rsidP="008078FC">
      <w:pPr>
        <w:rPr>
          <w:rFonts w:asciiTheme="minorHAnsi" w:eastAsia="Times New Roman" w:hAnsiTheme="minorHAnsi" w:cs="Times New Roman"/>
          <w:b/>
        </w:rPr>
      </w:pPr>
    </w:p>
    <w:p w14:paraId="46BB0D7F" w14:textId="77777777" w:rsidR="008078FC" w:rsidRDefault="008078FC" w:rsidP="008078FC">
      <w:pPr>
        <w:ind w:right="3969"/>
        <w:rPr>
          <w:rFonts w:asciiTheme="minorHAnsi" w:eastAsia="Times New Roman" w:hAnsiTheme="minorHAnsi" w:cs="Times New Roman"/>
        </w:rPr>
      </w:pPr>
    </w:p>
    <w:p w14:paraId="11019CC7" w14:textId="77777777" w:rsidR="008078FC" w:rsidRDefault="008078FC" w:rsidP="008078FC">
      <w:pPr>
        <w:ind w:right="3969"/>
        <w:rPr>
          <w:rFonts w:asciiTheme="minorHAnsi" w:eastAsia="Times New Roman" w:hAnsiTheme="minorHAnsi" w:cs="Times New Roman"/>
        </w:rPr>
      </w:pPr>
    </w:p>
    <w:p w14:paraId="05E83764" w14:textId="77777777" w:rsidR="008078FC" w:rsidRDefault="008078FC" w:rsidP="008078FC">
      <w:pPr>
        <w:ind w:right="3969"/>
        <w:rPr>
          <w:rFonts w:asciiTheme="minorHAnsi" w:eastAsia="Times New Roman" w:hAnsiTheme="minorHAnsi" w:cs="Times New Roman"/>
        </w:rPr>
      </w:pPr>
    </w:p>
    <w:p w14:paraId="38A1BA8A" w14:textId="77777777" w:rsidR="008078FC" w:rsidRDefault="008078FC" w:rsidP="008078FC">
      <w:pPr>
        <w:ind w:right="3969"/>
        <w:rPr>
          <w:rFonts w:asciiTheme="minorHAnsi" w:eastAsia="Times New Roman" w:hAnsiTheme="minorHAnsi" w:cs="Times New Roman"/>
        </w:rPr>
      </w:pPr>
    </w:p>
    <w:p w14:paraId="2F7E175A" w14:textId="77777777" w:rsidR="008078FC" w:rsidRDefault="008078FC" w:rsidP="008078FC">
      <w:pPr>
        <w:ind w:right="3969"/>
        <w:rPr>
          <w:rFonts w:asciiTheme="minorHAnsi" w:eastAsia="Times New Roman" w:hAnsiTheme="minorHAnsi" w:cs="Times New Roman"/>
        </w:rPr>
      </w:pPr>
    </w:p>
    <w:p w14:paraId="13529BA9" w14:textId="77777777" w:rsidR="008078FC" w:rsidRDefault="008078FC" w:rsidP="008078FC">
      <w:pPr>
        <w:ind w:right="3969"/>
        <w:rPr>
          <w:rFonts w:asciiTheme="minorHAnsi" w:eastAsia="Times New Roman" w:hAnsiTheme="minorHAnsi" w:cs="Times New Roman"/>
        </w:rPr>
      </w:pPr>
    </w:p>
    <w:p w14:paraId="632A4C34" w14:textId="77777777" w:rsidR="008078FC" w:rsidRDefault="008078FC" w:rsidP="008078FC">
      <w:pPr>
        <w:ind w:right="-6"/>
        <w:rPr>
          <w:rFonts w:asciiTheme="minorHAnsi" w:eastAsia="Times New Roman" w:hAnsiTheme="minorHAnsi" w:cs="Times New Roman"/>
        </w:rPr>
      </w:pPr>
      <w:r w:rsidRPr="008E0D88">
        <w:rPr>
          <w:rFonts w:asciiTheme="minorHAnsi" w:eastAsia="Times New Roman" w:hAnsiTheme="minorHAnsi" w:cs="Times New Roman"/>
        </w:rPr>
        <w:t xml:space="preserve">Die </w:t>
      </w:r>
      <w:r>
        <w:rPr>
          <w:rFonts w:asciiTheme="minorHAnsi" w:eastAsia="Times New Roman" w:hAnsiTheme="minorHAnsi" w:cs="Times New Roman"/>
        </w:rPr>
        <w:t>Ziel</w:t>
      </w:r>
      <w:r w:rsidRPr="008E0D88">
        <w:rPr>
          <w:rFonts w:asciiTheme="minorHAnsi" w:eastAsia="Times New Roman" w:hAnsiTheme="minorHAnsi" w:cs="Times New Roman"/>
        </w:rPr>
        <w:t xml:space="preserve"> von Feedback liegt Hattie zufolge darin,  „die D</w:t>
      </w:r>
      <w:r>
        <w:rPr>
          <w:rFonts w:asciiTheme="minorHAnsi" w:eastAsia="Times New Roman" w:hAnsiTheme="minorHAnsi" w:cs="Times New Roman"/>
        </w:rPr>
        <w:t>iskrepanz zwischen dem aktuellen</w:t>
      </w:r>
      <w:r w:rsidRPr="008E0D88">
        <w:rPr>
          <w:rFonts w:asciiTheme="minorHAnsi" w:eastAsia="Times New Roman" w:hAnsiTheme="minorHAnsi" w:cs="Times New Roman"/>
        </w:rPr>
        <w:t xml:space="preserve"> Verständnis und der Leistung auf der einen Seite und einer Lernintention oder einem Ziel auf der anderen Seite zu verringern.“ </w:t>
      </w:r>
      <w:r>
        <w:rPr>
          <w:rFonts w:asciiTheme="minorHAnsi" w:eastAsia="Times New Roman" w:hAnsiTheme="minorHAnsi" w:cs="Times New Roman"/>
        </w:rPr>
        <w:br/>
      </w:r>
      <w:r w:rsidRPr="008E0D88">
        <w:rPr>
          <w:rFonts w:asciiTheme="minorHAnsi" w:eastAsia="Times New Roman" w:hAnsiTheme="minorHAnsi" w:cs="Times New Roman"/>
        </w:rPr>
        <w:t>Danach ist Feedback „</w:t>
      </w:r>
      <w:r w:rsidRPr="00033D58">
        <w:rPr>
          <w:rFonts w:asciiTheme="minorHAnsi" w:eastAsia="Times New Roman" w:hAnsiTheme="minorHAnsi" w:cs="Times New Roman"/>
          <w:b/>
        </w:rPr>
        <w:t xml:space="preserve">die Information, mit der Lernende Informationen in ihrem Gedächtnis bestätigen, hinzufügen, überschreiben, anpassen oder </w:t>
      </w:r>
      <w:proofErr w:type="spellStart"/>
      <w:r w:rsidRPr="00033D58">
        <w:rPr>
          <w:rFonts w:asciiTheme="minorHAnsi" w:eastAsia="Times New Roman" w:hAnsiTheme="minorHAnsi" w:cs="Times New Roman"/>
          <w:b/>
        </w:rPr>
        <w:t>restrukturieren</w:t>
      </w:r>
      <w:proofErr w:type="spellEnd"/>
      <w:r w:rsidRPr="00033D58">
        <w:rPr>
          <w:rFonts w:asciiTheme="minorHAnsi" w:eastAsia="Times New Roman" w:hAnsiTheme="minorHAnsi" w:cs="Times New Roman"/>
          <w:b/>
        </w:rPr>
        <w:t xml:space="preserve"> können</w:t>
      </w:r>
      <w:r w:rsidRPr="008E0D88">
        <w:rPr>
          <w:rFonts w:asciiTheme="minorHAnsi" w:eastAsia="Times New Roman" w:hAnsiTheme="minorHAnsi" w:cs="Times New Roman"/>
        </w:rPr>
        <w:t>, gleichgültig ob es sich bei dieser Information um Fachwissen, meta-kognitives Wissen, Überzeugungen über sich selbst bzw. Aufgaben oder um kognitive Taktiken und Strategien handelt.</w:t>
      </w:r>
      <w:r>
        <w:rPr>
          <w:rFonts w:asciiTheme="minorHAnsi" w:eastAsia="Times New Roman" w:hAnsiTheme="minorHAnsi" w:cs="Times New Roman"/>
        </w:rPr>
        <w:t>“</w:t>
      </w:r>
      <w:r w:rsidRPr="008E0D88">
        <w:rPr>
          <w:rFonts w:asciiTheme="minorHAnsi" w:eastAsia="Times New Roman" w:hAnsiTheme="minorHAnsi" w:cs="Times New Roman"/>
        </w:rPr>
        <w:t xml:space="preserve"> (</w:t>
      </w:r>
      <w:r>
        <w:rPr>
          <w:rFonts w:asciiTheme="minorHAnsi" w:eastAsia="Times New Roman" w:hAnsiTheme="minorHAnsi" w:cs="Times New Roman"/>
        </w:rPr>
        <w:t>Winne&amp;Butler,</w:t>
      </w:r>
      <w:r w:rsidRPr="008E0D88">
        <w:rPr>
          <w:rFonts w:asciiTheme="minorHAnsi" w:eastAsia="Times New Roman" w:hAnsiTheme="minorHAnsi" w:cs="Times New Roman"/>
        </w:rPr>
        <w:t>1994)</w:t>
      </w:r>
      <w:r w:rsidRPr="008E0D88">
        <w:rPr>
          <w:rFonts w:asciiTheme="minorHAnsi" w:eastAsia="Times New Roman" w:hAnsiTheme="minorHAnsi" w:cs="Times New Roman"/>
        </w:rPr>
        <w:br/>
      </w:r>
      <w:r>
        <w:rPr>
          <w:rFonts w:asciiTheme="minorHAnsi" w:eastAsia="Times New Roman" w:hAnsiTheme="minorHAnsi" w:cs="Times New Roman"/>
        </w:rPr>
        <w:t>(siehe</w:t>
      </w:r>
      <w:r w:rsidRPr="008E0D88">
        <w:rPr>
          <w:rFonts w:asciiTheme="minorHAnsi" w:eastAsia="Times New Roman" w:hAnsiTheme="minorHAnsi" w:cs="Times New Roman"/>
        </w:rPr>
        <w:t>: Hattie 2013, S. 210 und 207)</w:t>
      </w:r>
    </w:p>
    <w:p w14:paraId="68BA4E5D" w14:textId="77777777" w:rsidR="008078FC" w:rsidRDefault="008078FC" w:rsidP="008078FC">
      <w:pPr>
        <w:rPr>
          <w:rFonts w:asciiTheme="minorHAnsi" w:eastAsia="Times New Roman" w:hAnsiTheme="minorHAnsi" w:cs="Times New Roman"/>
          <w:b/>
        </w:rPr>
      </w:pPr>
    </w:p>
    <w:p w14:paraId="4E5D4011" w14:textId="77777777" w:rsidR="008078FC" w:rsidRPr="00412E12" w:rsidRDefault="008078FC" w:rsidP="008078FC">
      <w:pPr>
        <w:spacing w:line="360" w:lineRule="auto"/>
        <w:rPr>
          <w:rFonts w:asciiTheme="minorHAnsi" w:eastAsia="Times New Roman" w:hAnsiTheme="minorHAnsi" w:cs="Times New Roman"/>
          <w:b/>
        </w:rPr>
      </w:pPr>
      <w:r w:rsidRPr="00412E12">
        <w:rPr>
          <w:rFonts w:asciiTheme="minorHAnsi" w:eastAsia="Times New Roman" w:hAnsiTheme="minorHAnsi" w:cs="Times New Roman"/>
          <w:b/>
        </w:rPr>
        <w:t>Feedback muss</w:t>
      </w:r>
      <w:r>
        <w:rPr>
          <w:rFonts w:asciiTheme="minorHAnsi" w:eastAsia="Times New Roman" w:hAnsiTheme="minorHAnsi" w:cs="Times New Roman"/>
          <w:b/>
        </w:rPr>
        <w:t xml:space="preserve"> ...</w:t>
      </w:r>
    </w:p>
    <w:p w14:paraId="6A6FB6CC" w14:textId="77777777" w:rsidR="008078FC" w:rsidRPr="008E0D88" w:rsidRDefault="008078FC" w:rsidP="008078FC">
      <w:pPr>
        <w:pStyle w:val="Listenabsatz"/>
        <w:numPr>
          <w:ilvl w:val="0"/>
          <w:numId w:val="2"/>
        </w:numPr>
        <w:spacing w:after="0" w:line="360" w:lineRule="auto"/>
        <w:contextualSpacing/>
        <w:rPr>
          <w:rFonts w:asciiTheme="minorHAnsi" w:eastAsia="Times New Roman" w:hAnsiTheme="minorHAnsi" w:cs="Times New Roman"/>
        </w:rPr>
      </w:pPr>
      <w:r w:rsidRPr="008E0D88">
        <w:rPr>
          <w:rFonts w:asciiTheme="minorHAnsi" w:eastAsia="Times New Roman" w:hAnsiTheme="minorHAnsi" w:cs="Times New Roman"/>
        </w:rPr>
        <w:t>klar, zweckgerichtet, sinnvoll und mit dem Vorwis</w:t>
      </w:r>
      <w:r>
        <w:rPr>
          <w:rFonts w:asciiTheme="minorHAnsi" w:eastAsia="Times New Roman" w:hAnsiTheme="minorHAnsi" w:cs="Times New Roman"/>
        </w:rPr>
        <w:t>sen der Schüler kompatibel sein</w:t>
      </w:r>
    </w:p>
    <w:p w14:paraId="5AC49C28" w14:textId="77777777" w:rsidR="008078FC" w:rsidRPr="008E0D88" w:rsidRDefault="008078FC" w:rsidP="008078FC">
      <w:pPr>
        <w:pStyle w:val="Listenabsatz"/>
        <w:numPr>
          <w:ilvl w:val="0"/>
          <w:numId w:val="2"/>
        </w:numPr>
        <w:spacing w:after="0" w:line="360" w:lineRule="auto"/>
        <w:contextualSpacing/>
        <w:rPr>
          <w:rFonts w:asciiTheme="minorHAnsi" w:eastAsia="Times New Roman" w:hAnsiTheme="minorHAnsi" w:cs="Times New Roman"/>
        </w:rPr>
      </w:pPr>
      <w:r>
        <w:rPr>
          <w:rFonts w:asciiTheme="minorHAnsi" w:eastAsia="Times New Roman" w:hAnsiTheme="minorHAnsi" w:cs="Times New Roman"/>
        </w:rPr>
        <w:t>logische Verbindungen bieten</w:t>
      </w:r>
    </w:p>
    <w:p w14:paraId="43A78186" w14:textId="77777777" w:rsidR="008078FC" w:rsidRPr="008E0D88" w:rsidRDefault="008078FC" w:rsidP="008078FC">
      <w:pPr>
        <w:pStyle w:val="Listenabsatz"/>
        <w:numPr>
          <w:ilvl w:val="0"/>
          <w:numId w:val="2"/>
        </w:numPr>
        <w:spacing w:after="0" w:line="360" w:lineRule="auto"/>
        <w:contextualSpacing/>
        <w:rPr>
          <w:rFonts w:asciiTheme="minorHAnsi" w:eastAsia="Times New Roman" w:hAnsiTheme="minorHAnsi" w:cs="Times New Roman"/>
        </w:rPr>
      </w:pPr>
      <w:r w:rsidRPr="008E0D88">
        <w:rPr>
          <w:rFonts w:asciiTheme="minorHAnsi" w:eastAsia="Times New Roman" w:hAnsiTheme="minorHAnsi" w:cs="Times New Roman"/>
        </w:rPr>
        <w:t>eine aktive Informat</w:t>
      </w:r>
      <w:r>
        <w:rPr>
          <w:rFonts w:asciiTheme="minorHAnsi" w:eastAsia="Times New Roman" w:hAnsiTheme="minorHAnsi" w:cs="Times New Roman"/>
        </w:rPr>
        <w:t>ionsverarbeitung in Gang setzen</w:t>
      </w:r>
    </w:p>
    <w:p w14:paraId="0C20C71A" w14:textId="77777777" w:rsidR="008078FC" w:rsidRPr="008E0D88" w:rsidRDefault="008078FC" w:rsidP="008078FC">
      <w:pPr>
        <w:pStyle w:val="Listenabsatz"/>
        <w:numPr>
          <w:ilvl w:val="0"/>
          <w:numId w:val="2"/>
        </w:numPr>
        <w:spacing w:after="0" w:line="360" w:lineRule="auto"/>
        <w:contextualSpacing/>
        <w:rPr>
          <w:rFonts w:asciiTheme="minorHAnsi" w:eastAsia="Times New Roman" w:hAnsiTheme="minorHAnsi" w:cs="Times New Roman"/>
        </w:rPr>
      </w:pPr>
      <w:r w:rsidRPr="008E0D88">
        <w:rPr>
          <w:rFonts w:asciiTheme="minorHAnsi" w:eastAsia="Times New Roman" w:hAnsiTheme="minorHAnsi" w:cs="Times New Roman"/>
        </w:rPr>
        <w:t>über eine geringe Aufgabenkomp</w:t>
      </w:r>
      <w:r>
        <w:rPr>
          <w:rFonts w:asciiTheme="minorHAnsi" w:eastAsia="Times New Roman" w:hAnsiTheme="minorHAnsi" w:cs="Times New Roman"/>
        </w:rPr>
        <w:t>lexität verfügen</w:t>
      </w:r>
    </w:p>
    <w:p w14:paraId="6082E69E" w14:textId="77777777" w:rsidR="008078FC" w:rsidRPr="008E0D88" w:rsidRDefault="008078FC" w:rsidP="008078FC">
      <w:pPr>
        <w:pStyle w:val="Listenabsatz"/>
        <w:numPr>
          <w:ilvl w:val="0"/>
          <w:numId w:val="2"/>
        </w:numPr>
        <w:spacing w:after="0" w:line="360" w:lineRule="auto"/>
        <w:contextualSpacing/>
        <w:rPr>
          <w:rFonts w:asciiTheme="minorHAnsi" w:eastAsia="Times New Roman" w:hAnsiTheme="minorHAnsi" w:cs="Times New Roman"/>
        </w:rPr>
      </w:pPr>
      <w:r w:rsidRPr="008E0D88">
        <w:rPr>
          <w:rFonts w:asciiTheme="minorHAnsi" w:eastAsia="Times New Roman" w:hAnsiTheme="minorHAnsi" w:cs="Times New Roman"/>
        </w:rPr>
        <w:t>sich auf spezi</w:t>
      </w:r>
      <w:r>
        <w:rPr>
          <w:rFonts w:asciiTheme="minorHAnsi" w:eastAsia="Times New Roman" w:hAnsiTheme="minorHAnsi" w:cs="Times New Roman"/>
        </w:rPr>
        <w:t>fische und klare Ziele beziehen</w:t>
      </w:r>
    </w:p>
    <w:p w14:paraId="18D621C1" w14:textId="77777777" w:rsidR="008078FC" w:rsidRPr="008E0D88" w:rsidRDefault="008078FC" w:rsidP="008078FC">
      <w:pPr>
        <w:pStyle w:val="Listenabsatz"/>
        <w:numPr>
          <w:ilvl w:val="0"/>
          <w:numId w:val="2"/>
        </w:numPr>
        <w:spacing w:after="0" w:line="360" w:lineRule="auto"/>
        <w:contextualSpacing/>
        <w:rPr>
          <w:rFonts w:asciiTheme="minorHAnsi" w:eastAsia="Times New Roman" w:hAnsiTheme="minorHAnsi" w:cs="Times New Roman"/>
        </w:rPr>
      </w:pPr>
      <w:r w:rsidRPr="008E0D88">
        <w:rPr>
          <w:rFonts w:asciiTheme="minorHAnsi" w:eastAsia="Times New Roman" w:hAnsiTheme="minorHAnsi" w:cs="Times New Roman"/>
        </w:rPr>
        <w:t xml:space="preserve">sich auf verschiedene Ebenen der Aufgabe, der Prozesse oder der Regulierung richten </w:t>
      </w:r>
    </w:p>
    <w:p w14:paraId="69D9A13B" w14:textId="77777777" w:rsidR="008078FC" w:rsidRDefault="008078FC" w:rsidP="008078FC">
      <w:pPr>
        <w:spacing w:after="0" w:line="360" w:lineRule="auto"/>
        <w:contextualSpacing/>
        <w:rPr>
          <w:rFonts w:asciiTheme="minorHAnsi" w:eastAsia="Times New Roman" w:hAnsiTheme="minorHAnsi" w:cs="Times New Roman"/>
        </w:rPr>
      </w:pPr>
    </w:p>
    <w:p w14:paraId="5D0B5682" w14:textId="77777777" w:rsidR="008078FC" w:rsidRDefault="008078FC" w:rsidP="008078FC">
      <w:pPr>
        <w:rPr>
          <w:rFonts w:asciiTheme="minorHAnsi" w:eastAsia="Times New Roman" w:hAnsiTheme="minorHAnsi" w:cs="Times New Roman"/>
        </w:rPr>
      </w:pPr>
    </w:p>
    <w:p w14:paraId="17029FA8" w14:textId="77777777" w:rsidR="005D395A" w:rsidRDefault="005D395A"/>
    <w:sectPr w:rsidR="005D395A" w:rsidSect="0072549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87C9E"/>
    <w:multiLevelType w:val="hybridMultilevel"/>
    <w:tmpl w:val="0D969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8A70FF3"/>
    <w:multiLevelType w:val="hybridMultilevel"/>
    <w:tmpl w:val="08C6D416"/>
    <w:lvl w:ilvl="0" w:tplc="10ACF77E">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FC"/>
    <w:rsid w:val="0033467F"/>
    <w:rsid w:val="005D395A"/>
    <w:rsid w:val="00725499"/>
    <w:rsid w:val="008078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16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8FC"/>
    <w:pPr>
      <w:spacing w:after="120" w:line="276" w:lineRule="auto"/>
    </w:pPr>
    <w:rPr>
      <w:rFonts w:ascii="Arial" w:eastAsiaTheme="minorHAnsi" w:hAnsi="Arial" w:cs="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8078FC"/>
    <w:pPr>
      <w:numPr>
        <w:numId w:val="1"/>
      </w:numPr>
    </w:pPr>
  </w:style>
  <w:style w:type="paragraph" w:styleId="Sprechblasentext">
    <w:name w:val="Balloon Text"/>
    <w:basedOn w:val="Standard"/>
    <w:link w:val="SprechblasentextZeichen"/>
    <w:uiPriority w:val="99"/>
    <w:semiHidden/>
    <w:unhideWhenUsed/>
    <w:rsid w:val="008078FC"/>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078FC"/>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8FC"/>
    <w:pPr>
      <w:spacing w:after="120" w:line="276" w:lineRule="auto"/>
    </w:pPr>
    <w:rPr>
      <w:rFonts w:ascii="Arial" w:eastAsiaTheme="minorHAnsi" w:hAnsi="Arial" w:cs="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8078FC"/>
    <w:pPr>
      <w:numPr>
        <w:numId w:val="1"/>
      </w:numPr>
    </w:pPr>
  </w:style>
  <w:style w:type="paragraph" w:styleId="Sprechblasentext">
    <w:name w:val="Balloon Text"/>
    <w:basedOn w:val="Standard"/>
    <w:link w:val="SprechblasentextZeichen"/>
    <w:uiPriority w:val="99"/>
    <w:semiHidden/>
    <w:unhideWhenUsed/>
    <w:rsid w:val="008078FC"/>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078F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898</Characters>
  <Application>Microsoft Macintosh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Höffle</dc:creator>
  <cp:keywords/>
  <dc:description/>
  <cp:lastModifiedBy>Andreas Höffle</cp:lastModifiedBy>
  <cp:revision>2</cp:revision>
  <dcterms:created xsi:type="dcterms:W3CDTF">2018-04-14T08:29:00Z</dcterms:created>
  <dcterms:modified xsi:type="dcterms:W3CDTF">2018-04-14T08:34:00Z</dcterms:modified>
</cp:coreProperties>
</file>