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2C" w:rsidRDefault="00A9482C" w:rsidP="005B15FD">
      <w:pPr>
        <w:pStyle w:val="ListParagraph"/>
        <w:ind w:left="284"/>
        <w:jc w:val="center"/>
        <w:rPr>
          <w:rFonts w:ascii="Calibri" w:hAnsi="Calibri" w:cs="Tahoma"/>
          <w:b/>
          <w:lang w:val="fr-FR"/>
        </w:rPr>
      </w:pPr>
      <w:r>
        <w:rPr>
          <w:rFonts w:ascii="Calibri" w:hAnsi="Calibri" w:cs="Tahoma"/>
          <w:b/>
          <w:lang w:val="fr-FR"/>
        </w:rPr>
        <w:t>Répartition des responsabilités</w:t>
      </w:r>
    </w:p>
    <w:p w:rsidR="00A9482C" w:rsidRDefault="00A9482C" w:rsidP="005B15FD">
      <w:pPr>
        <w:pStyle w:val="ListParagraph"/>
        <w:ind w:left="284"/>
        <w:rPr>
          <w:rFonts w:ascii="Calibri" w:hAnsi="Calibri" w:cs="Tahoma"/>
          <w:b/>
          <w:lang w:val="fr-FR"/>
        </w:rPr>
      </w:pPr>
    </w:p>
    <w:p w:rsidR="00A9482C" w:rsidRDefault="00A9482C" w:rsidP="005B15FD">
      <w:pPr>
        <w:pStyle w:val="ListParagraph"/>
        <w:ind w:left="284"/>
        <w:rPr>
          <w:rFonts w:ascii="Calibri" w:hAnsi="Calibri" w:cs="Tahoma"/>
          <w:lang w:val="fr-FR"/>
        </w:rPr>
      </w:pPr>
      <w:r w:rsidRPr="00DC4C57">
        <w:rPr>
          <w:rFonts w:ascii="Calibri" w:hAnsi="Calibri" w:cs="Tahoma"/>
          <w:lang w:val="fr-FR"/>
        </w:rPr>
        <w:t xml:space="preserve">Tous </w:t>
      </w:r>
      <w:r>
        <w:rPr>
          <w:rFonts w:ascii="Calibri" w:hAnsi="Calibri" w:cs="Tahoma"/>
          <w:lang w:val="fr-FR"/>
        </w:rPr>
        <w:t>devront</w:t>
      </w:r>
      <w:r w:rsidRPr="00DC4C57">
        <w:rPr>
          <w:rFonts w:ascii="Calibri" w:hAnsi="Calibri" w:cs="Tahoma"/>
          <w:lang w:val="fr-FR"/>
        </w:rPr>
        <w:t xml:space="preserve"> coopérer et échange</w:t>
      </w:r>
      <w:r>
        <w:rPr>
          <w:rFonts w:ascii="Calibri" w:hAnsi="Calibri" w:cs="Tahoma"/>
          <w:lang w:val="fr-FR"/>
        </w:rPr>
        <w:t>r leurs idées. Les responsabveillent sur leur domaine.</w:t>
      </w:r>
    </w:p>
    <w:p w:rsidR="00A9482C" w:rsidRPr="009D0316" w:rsidRDefault="00A9482C" w:rsidP="009D0316">
      <w:pPr>
        <w:rPr>
          <w:rFonts w:ascii="Calibri" w:hAnsi="Calibri" w:cs="Tahoma"/>
          <w:lang w:val="fr-FR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4086"/>
        <w:gridCol w:w="2872"/>
      </w:tblGrid>
      <w:tr w:rsidR="00A9482C" w:rsidRPr="00A070F1" w:rsidTr="007053BB">
        <w:tc>
          <w:tcPr>
            <w:tcW w:w="2092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Responsabilité :</w:t>
            </w: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Tâche :</w:t>
            </w: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Noms des élèves :</w:t>
            </w:r>
          </w:p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</w:tr>
      <w:tr w:rsidR="00A9482C" w:rsidRPr="00D1356C" w:rsidTr="007053BB">
        <w:tc>
          <w:tcPr>
            <w:tcW w:w="2092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Décoration, arrière-fond</w:t>
            </w: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7053BB">
              <w:rPr>
                <w:rFonts w:ascii="Calibri" w:hAnsi="Calibri" w:cs="Tahoma"/>
                <w:lang w:val="fr-FR"/>
              </w:rPr>
              <w:t>Choisit et organise les endroits pour le tournage, demande éventuellement la permission (p.ex. devant/dans des magasins) et organise les accessoires</w:t>
            </w: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9482C" w:rsidRPr="00D1356C" w:rsidTr="007053BB">
        <w:tc>
          <w:tcPr>
            <w:tcW w:w="2092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Lumière</w:t>
            </w: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7053BB">
              <w:rPr>
                <w:rFonts w:ascii="Calibri" w:hAnsi="Calibri" w:cs="Tahoma"/>
                <w:lang w:val="fr-FR"/>
              </w:rPr>
              <w:t>Organise quelques lampes (p.ex. de poche) ou un spot ; pensera pour chaque scène à la lumière et comment elle peut être utilisée</w:t>
            </w: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9482C" w:rsidRPr="00D1356C" w:rsidTr="007053BB">
        <w:tc>
          <w:tcPr>
            <w:tcW w:w="2092" w:type="dxa"/>
          </w:tcPr>
          <w:p w:rsidR="00A9482C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Prises de vue</w:t>
            </w:r>
          </w:p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7053BB">
              <w:rPr>
                <w:rFonts w:ascii="Calibri" w:hAnsi="Calibri" w:cs="Tahoma"/>
                <w:lang w:val="fr-FR"/>
              </w:rPr>
              <w:t>Regardera toutes les scènes sous le point de vue du zoom, de l’angle et de la perspective</w:t>
            </w:r>
          </w:p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7053BB">
              <w:rPr>
                <w:rFonts w:ascii="Calibri" w:hAnsi="Calibri" w:cs="Tahoma"/>
                <w:lang w:val="fr-FR"/>
              </w:rPr>
              <w:t>V. Les jeunes et l’école, Klett, p. 47</w:t>
            </w: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9482C" w:rsidRPr="00D1356C" w:rsidTr="007053BB">
        <w:tc>
          <w:tcPr>
            <w:tcW w:w="2092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Dialogues</w:t>
            </w: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7053BB">
              <w:rPr>
                <w:rFonts w:ascii="Calibri" w:hAnsi="Calibri" w:cs="Tahoma"/>
                <w:lang w:val="fr-FR"/>
              </w:rPr>
              <w:t>Contrôlera les dialogues, examine s’ils sont cohérents, si des informations manquent, corrige les fautes</w:t>
            </w: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9482C" w:rsidRPr="00D1356C" w:rsidTr="007053BB">
        <w:tc>
          <w:tcPr>
            <w:tcW w:w="2092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Coupe</w:t>
            </w:r>
            <w:r>
              <w:rPr>
                <w:rFonts w:ascii="Calibri" w:hAnsi="Calibri" w:cs="Tahoma"/>
                <w:b/>
                <w:lang w:val="fr-FR"/>
              </w:rPr>
              <w:t>s</w:t>
            </w:r>
            <w:r w:rsidRPr="007053BB">
              <w:rPr>
                <w:rFonts w:ascii="Calibri" w:hAnsi="Calibri" w:cs="Tahoma"/>
                <w:b/>
                <w:lang w:val="fr-FR"/>
              </w:rPr>
              <w:t xml:space="preserve"> et finissage, titre, liste de l’équipe</w:t>
            </w: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9482C" w:rsidTr="007053BB">
        <w:tc>
          <w:tcPr>
            <w:tcW w:w="2092" w:type="dxa"/>
          </w:tcPr>
          <w:p w:rsidR="00A9482C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Sons</w:t>
            </w:r>
          </w:p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9482C" w:rsidRPr="00D1356C" w:rsidTr="007053BB">
        <w:tc>
          <w:tcPr>
            <w:tcW w:w="2092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Chargé de communcations</w:t>
            </w:r>
            <w:r w:rsidRPr="007053BB">
              <w:rPr>
                <w:rFonts w:ascii="Calibri" w:hAnsi="Calibri" w:cs="Tahoma"/>
                <w:b/>
                <w:lang w:val="fr-FR"/>
              </w:rPr>
              <w:t>, publicité</w:t>
            </w: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7053BB">
              <w:rPr>
                <w:rFonts w:ascii="Calibri" w:hAnsi="Calibri" w:cs="Tahoma"/>
                <w:lang w:val="fr-FR"/>
              </w:rPr>
              <w:t>Ecrire des textes pour la publicité (pour une audience au sein de l’école, pour l’enveloppe du DVD)</w:t>
            </w: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9482C" w:rsidTr="007053BB">
        <w:tc>
          <w:tcPr>
            <w:tcW w:w="2092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Acteurs et actrices</w:t>
            </w: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9482C" w:rsidRPr="00D1356C" w:rsidTr="007053BB">
        <w:tc>
          <w:tcPr>
            <w:tcW w:w="2092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7053BB">
              <w:rPr>
                <w:rFonts w:ascii="Calibri" w:hAnsi="Calibri" w:cs="Tahoma"/>
                <w:b/>
                <w:lang w:val="fr-FR"/>
              </w:rPr>
              <w:t>Responsable d’ une scène</w:t>
            </w: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7053BB">
              <w:rPr>
                <w:rFonts w:ascii="Calibri" w:hAnsi="Calibri" w:cs="Tahoma"/>
                <w:lang w:val="fr-FR"/>
              </w:rPr>
              <w:t>Parallèlement aux responsabilités générales mentionnées ci-dessus, il y aura, pour chaque scène, un/e responsable spécifique</w:t>
            </w:r>
            <w:bookmarkStart w:id="0" w:name="_GoBack"/>
            <w:bookmarkEnd w:id="0"/>
            <w:r w:rsidRPr="007053BB">
              <w:rPr>
                <w:rFonts w:ascii="Calibri" w:hAnsi="Calibri" w:cs="Tahoma"/>
                <w:lang w:val="fr-FR"/>
              </w:rPr>
              <w:t>.</w:t>
            </w: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9482C" w:rsidRPr="00D1356C" w:rsidTr="007053BB">
        <w:tc>
          <w:tcPr>
            <w:tcW w:w="2092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Chef de plateau</w:t>
            </w:r>
          </w:p>
        </w:tc>
        <w:tc>
          <w:tcPr>
            <w:tcW w:w="4683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7053BB">
              <w:rPr>
                <w:rFonts w:ascii="Calibri" w:hAnsi="Calibri" w:cs="Tahoma"/>
                <w:lang w:val="fr-FR"/>
              </w:rPr>
              <w:t>Les élèves qui tiennent ce rôle devront toujours être munis du texte pour pouvoir argumenter à base de l’original littéraire.</w:t>
            </w:r>
          </w:p>
        </w:tc>
        <w:tc>
          <w:tcPr>
            <w:tcW w:w="3361" w:type="dxa"/>
          </w:tcPr>
          <w:p w:rsidR="00A9482C" w:rsidRPr="007053BB" w:rsidRDefault="00A9482C" w:rsidP="007053BB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</w:tbl>
    <w:p w:rsidR="00A9482C" w:rsidRDefault="00A9482C" w:rsidP="00A76EC8">
      <w:pPr>
        <w:pStyle w:val="ListParagraph"/>
        <w:ind w:left="284"/>
        <w:rPr>
          <w:rFonts w:ascii="Calibri" w:hAnsi="Calibri" w:cs="Tahoma"/>
          <w:lang w:val="fr-FR"/>
        </w:rPr>
      </w:pPr>
    </w:p>
    <w:p w:rsidR="00A9482C" w:rsidRPr="00A76EC8" w:rsidRDefault="00A9482C">
      <w:pPr>
        <w:rPr>
          <w:lang w:val="fr-FR"/>
        </w:rPr>
      </w:pPr>
    </w:p>
    <w:sectPr w:rsidR="00A9482C" w:rsidRPr="00A76EC8" w:rsidSect="00E32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EC8"/>
    <w:rsid w:val="000266B0"/>
    <w:rsid w:val="003C7066"/>
    <w:rsid w:val="0042443E"/>
    <w:rsid w:val="00557BB0"/>
    <w:rsid w:val="005B15FD"/>
    <w:rsid w:val="007053BB"/>
    <w:rsid w:val="009D0316"/>
    <w:rsid w:val="00A070F1"/>
    <w:rsid w:val="00A76EC8"/>
    <w:rsid w:val="00A9482C"/>
    <w:rsid w:val="00AA5F2A"/>
    <w:rsid w:val="00B15D4D"/>
    <w:rsid w:val="00CE6CDA"/>
    <w:rsid w:val="00D1356C"/>
    <w:rsid w:val="00DC4C57"/>
    <w:rsid w:val="00E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C8"/>
    <w:rPr>
      <w:rFonts w:ascii="Arial" w:eastAsia="Times New Roman" w:hAnsi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EC8"/>
    <w:pPr>
      <w:ind w:left="720"/>
      <w:contextualSpacing/>
    </w:pPr>
  </w:style>
  <w:style w:type="table" w:styleId="TableGrid">
    <w:name w:val="Table Grid"/>
    <w:basedOn w:val="TableNormal"/>
    <w:uiPriority w:val="99"/>
    <w:rsid w:val="00A76EC8"/>
    <w:rPr>
      <w:rFonts w:ascii="Times New Roman" w:eastAsia="Times New Roman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Lanske</dc:creator>
  <cp:keywords/>
  <dc:description/>
  <cp:lastModifiedBy>Eyser</cp:lastModifiedBy>
  <cp:revision>9</cp:revision>
  <dcterms:created xsi:type="dcterms:W3CDTF">2014-04-11T12:32:00Z</dcterms:created>
  <dcterms:modified xsi:type="dcterms:W3CDTF">2014-04-11T14:02:00Z</dcterms:modified>
</cp:coreProperties>
</file>