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8C" w:rsidRDefault="00B20CD9">
      <w:pPr>
        <w:pStyle w:val="StandardWeb"/>
        <w:spacing w:before="280" w:after="280"/>
        <w:rPr>
          <w:rFonts w:ascii="Palatino Linotype" w:hAnsi="Palatino Linotype"/>
          <w:b/>
        </w:rPr>
      </w:pPr>
      <w:r>
        <w:rPr>
          <w:rFonts w:ascii="Palatino Linotype" w:hAnsi="Palatino Linotype"/>
          <w:b/>
        </w:rPr>
        <w:t>Caesar am Rubico: Sueton, divus Iulius 31-33</w:t>
      </w:r>
    </w:p>
    <w:p w:rsidR="00E06F8C" w:rsidRDefault="00B20CD9">
      <w:pPr>
        <w:pStyle w:val="StandardWeb"/>
      </w:pPr>
      <w:r>
        <w:rPr>
          <w:rFonts w:ascii="Palatino Linotype" w:hAnsi="Palatino Linotype"/>
          <w:i/>
        </w:rPr>
        <w:t>Caesar wird klar, dass im Senat in Rom einflussreiche Kräfte seine weitere Karriere verhindern wollen. Sein ehemaliger Verbündeter und Schwiegersohn Gnaeus Pompeius entwickelt sich zu seinem größten Widersacher im Senat. Caesar versucht mit Hilfe von ihm e</w:t>
      </w:r>
      <w:r>
        <w:rPr>
          <w:rFonts w:ascii="Palatino Linotype" w:hAnsi="Palatino Linotype"/>
          <w:i/>
        </w:rPr>
        <w:t xml:space="preserve">rgebenen Politikern, besonders Volkstribunen, durchzusetzen, dass er sich </w:t>
      </w:r>
      <w:bookmarkStart w:id="0" w:name="_GoBack"/>
      <w:bookmarkEnd w:id="0"/>
      <w:r>
        <w:rPr>
          <w:rFonts w:ascii="Palatino Linotype" w:hAnsi="Palatino Linotype"/>
          <w:i/>
        </w:rPr>
        <w:t>in Abwesenheit um das Consulat bewerben kann. Als seine Gegner im Senat jeden Kompromiss verweigern, zieht er mit Truppen in den italischen Teil seine</w:t>
      </w:r>
      <w:r>
        <w:rPr>
          <w:rFonts w:ascii="Palatino Linotype" w:hAnsi="Palatino Linotype"/>
          <w:i/>
        </w:rPr>
        <w:t>r Provinz, Gallia citerior, und wartet in Ravenna auf weitere Entwicklungen.</w:t>
      </w:r>
    </w:p>
    <w:p w:rsidR="00E06F8C" w:rsidRDefault="00B20CD9">
      <w:pPr>
        <w:pStyle w:val="StandardWeb"/>
        <w:rPr>
          <w:rFonts w:ascii="Palatino Linotype" w:hAnsi="Palatino Linotype"/>
        </w:rPr>
      </w:pPr>
      <w:r>
        <w:rPr>
          <w:rFonts w:ascii="Palatino Linotype" w:hAnsi="Palatino Linotype"/>
        </w:rPr>
        <w:t xml:space="preserve"> </w:t>
      </w:r>
    </w:p>
    <w:tbl>
      <w:tblPr>
        <w:tblW w:w="928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145"/>
        <w:gridCol w:w="4143"/>
      </w:tblGrid>
      <w:tr w:rsidR="00E06F8C">
        <w:tc>
          <w:tcPr>
            <w:tcW w:w="5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after="57"/>
            </w:pPr>
            <w:r>
              <w:rPr>
                <w:rFonts w:ascii="Palatino Linotype" w:hAnsi="Palatino Linotype"/>
                <w:lang w:val="la"/>
              </w:rPr>
              <w:t>[</w:t>
            </w:r>
            <w:bookmarkStart w:id="1" w:name="31"/>
            <w:r>
              <w:rPr>
                <w:rFonts w:ascii="Palatino Linotype" w:hAnsi="Palatino Linotype"/>
                <w:lang w:val="la"/>
              </w:rPr>
              <w:t>31</w:t>
            </w:r>
            <w:bookmarkEnd w:id="1"/>
            <w:r>
              <w:rPr>
                <w:rFonts w:ascii="Palatino Linotype" w:hAnsi="Palatino Linotype"/>
                <w:lang w:val="la"/>
              </w:rPr>
              <w:t xml:space="preserve">] Cum ergo nuntiatum esset  </w:t>
            </w:r>
            <w:r>
              <w:rPr>
                <w:rFonts w:ascii="Palatino Linotype" w:hAnsi="Palatino Linotype"/>
                <w:lang w:val="la"/>
              </w:rPr>
              <w:br/>
              <w:t>tribunorum intercessionem sublatam esse</w:t>
            </w:r>
            <w:r>
              <w:rPr>
                <w:rFonts w:ascii="Palatino Linotype" w:hAnsi="Palatino Linotype"/>
                <w:lang w:val="la"/>
              </w:rPr>
              <w:br/>
              <w:t xml:space="preserve">ipsosque urbe cessisse, </w:t>
            </w:r>
            <w:r>
              <w:rPr>
                <w:rFonts w:ascii="Palatino Linotype" w:hAnsi="Palatino Linotype"/>
                <w:lang w:val="la"/>
              </w:rPr>
              <w:br/>
              <w:t>Caesar confestim clam cohortes praemisit.</w:t>
            </w:r>
          </w:p>
          <w:p w:rsidR="00E06F8C" w:rsidRDefault="00B20CD9">
            <w:pPr>
              <w:pStyle w:val="StandardWeb"/>
              <w:spacing w:before="57" w:after="57"/>
              <w:rPr>
                <w:rFonts w:ascii="Palatino Linotype" w:hAnsi="Palatino Linotype"/>
                <w:lang w:val="la"/>
              </w:rPr>
            </w:pPr>
            <w:r>
              <w:rPr>
                <w:rFonts w:ascii="Palatino Linotype" w:hAnsi="Palatino Linotype"/>
                <w:lang w:val="la"/>
              </w:rPr>
              <w:t xml:space="preserve">Tum, </w:t>
            </w:r>
            <w:r>
              <w:rPr>
                <w:rFonts w:ascii="Palatino Linotype" w:hAnsi="Palatino Linotype"/>
                <w:lang w:val="la"/>
              </w:rPr>
              <w:br/>
              <w:t xml:space="preserve">ne qua suspicio moveretur, </w:t>
            </w:r>
            <w:r>
              <w:rPr>
                <w:rFonts w:ascii="Palatino Linotype" w:hAnsi="Palatino Linotype"/>
                <w:lang w:val="la"/>
              </w:rPr>
              <w:br/>
              <w:t>et s</w:t>
            </w:r>
            <w:r>
              <w:rPr>
                <w:rFonts w:ascii="Palatino Linotype" w:hAnsi="Palatino Linotype"/>
                <w:lang w:val="la"/>
              </w:rPr>
              <w:t xml:space="preserve">pectaculo publico per dissimulationem interfuit </w:t>
            </w:r>
            <w:r>
              <w:rPr>
                <w:rFonts w:ascii="Palatino Linotype" w:hAnsi="Palatino Linotype"/>
                <w:lang w:val="la"/>
              </w:rPr>
              <w:br/>
              <w:t xml:space="preserve">et formam, </w:t>
            </w:r>
            <w:r>
              <w:rPr>
                <w:rFonts w:ascii="Palatino Linotype" w:hAnsi="Palatino Linotype"/>
                <w:lang w:val="la"/>
              </w:rPr>
              <w:br/>
              <w:t xml:space="preserve">qua ludum gladiatorium aedificabat, consideravit </w:t>
            </w:r>
            <w:r>
              <w:rPr>
                <w:rFonts w:ascii="Palatino Linotype" w:hAnsi="Palatino Linotype"/>
                <w:lang w:val="la"/>
              </w:rPr>
              <w:br/>
              <w:t xml:space="preserve">et ex consuetudine convivio frequenti se dedit. </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intercessio, onis f: Einspruch, Veto</w:t>
            </w:r>
          </w:p>
          <w:p w:rsidR="00E06F8C" w:rsidRDefault="00B20CD9">
            <w:pPr>
              <w:pStyle w:val="StandardWeb"/>
              <w:spacing w:before="57" w:beforeAutospacing="0" w:after="57" w:afterAutospacing="0"/>
              <w:rPr>
                <w:sz w:val="20"/>
                <w:szCs w:val="20"/>
              </w:rPr>
            </w:pPr>
            <w:r>
              <w:rPr>
                <w:rFonts w:ascii="Palatino Linotype" w:hAnsi="Palatino Linotype"/>
                <w:sz w:val="20"/>
                <w:szCs w:val="20"/>
                <w:lang w:val="la"/>
              </w:rPr>
              <w:t>tollere, -o, sustuli, sublatum: aufheben, beseitigen</w:t>
            </w:r>
          </w:p>
          <w:p w:rsidR="00E06F8C" w:rsidRDefault="00B20CD9">
            <w:pPr>
              <w:pStyle w:val="StandardWeb"/>
              <w:spacing w:before="57" w:beforeAutospacing="0" w:after="57" w:afterAutospacing="0"/>
              <w:rPr>
                <w:sz w:val="20"/>
                <w:szCs w:val="20"/>
              </w:rPr>
            </w:pPr>
            <w:r>
              <w:rPr>
                <w:rFonts w:ascii="Palatino Linotype" w:hAnsi="Palatino Linotype"/>
                <w:sz w:val="20"/>
                <w:szCs w:val="20"/>
                <w:lang w:val="la"/>
              </w:rPr>
              <w:t>cedere</w:t>
            </w:r>
            <w:r>
              <w:rPr>
                <w:rFonts w:ascii="Palatino Linotype" w:hAnsi="Palatino Linotype"/>
                <w:sz w:val="20"/>
                <w:szCs w:val="20"/>
                <w:lang w:val="la"/>
              </w:rPr>
              <w:t xml:space="preserve">, -o, cessi </w:t>
            </w:r>
            <w:r>
              <w:rPr>
                <w:rFonts w:ascii="Palatino Linotype" w:hAnsi="Palatino Linotype"/>
                <w:i/>
                <w:iCs/>
                <w:sz w:val="20"/>
                <w:szCs w:val="20"/>
                <w:lang w:val="la"/>
              </w:rPr>
              <w:t>[+Abl.]</w:t>
            </w:r>
            <w:r>
              <w:rPr>
                <w:rFonts w:ascii="Palatino Linotype" w:hAnsi="Palatino Linotype"/>
                <w:sz w:val="20"/>
                <w:szCs w:val="20"/>
                <w:lang w:val="la"/>
              </w:rPr>
              <w:t xml:space="preserve">: fortgehen, fliehen </w:t>
            </w:r>
            <w:r>
              <w:rPr>
                <w:rFonts w:ascii="Palatino Linotype" w:hAnsi="Palatino Linotype"/>
                <w:i/>
                <w:iCs/>
                <w:sz w:val="20"/>
                <w:szCs w:val="20"/>
                <w:lang w:val="la"/>
              </w:rPr>
              <w:t>[aus ...]</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 xml:space="preserve">confestim </w:t>
            </w:r>
            <w:r>
              <w:rPr>
                <w:rFonts w:ascii="Palatino Linotype" w:hAnsi="Palatino Linotype"/>
                <w:i/>
                <w:iCs/>
                <w:sz w:val="20"/>
                <w:szCs w:val="20"/>
                <w:lang w:val="la"/>
              </w:rPr>
              <w:t>[Adv.]</w:t>
            </w:r>
            <w:r>
              <w:rPr>
                <w:rFonts w:ascii="Palatino Linotype" w:hAnsi="Palatino Linotype"/>
                <w:sz w:val="20"/>
                <w:szCs w:val="20"/>
                <w:lang w:val="la"/>
              </w:rPr>
              <w:t>: eilends</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suspicio, onis f: Verdacht, Argwohn</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spectaculum, i n: Veranstaltung</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per dissimulationem: als Täuschungsmanöver</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 xml:space="preserve">forma, ae f: </w:t>
            </w:r>
            <w:r>
              <w:rPr>
                <w:rFonts w:ascii="Palatino Linotype" w:hAnsi="Palatino Linotype"/>
                <w:i/>
                <w:iCs/>
                <w:sz w:val="20"/>
                <w:szCs w:val="20"/>
                <w:lang w:val="la"/>
              </w:rPr>
              <w:t>[hier:]</w:t>
            </w:r>
            <w:r>
              <w:rPr>
                <w:rFonts w:ascii="Palatino Linotype" w:hAnsi="Palatino Linotype"/>
                <w:sz w:val="20"/>
                <w:szCs w:val="20"/>
                <w:lang w:val="la"/>
              </w:rPr>
              <w:t xml:space="preserve"> Bauplan</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ludus gladiatorius: Gladiatorenkaserne</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c</w:t>
            </w:r>
            <w:r>
              <w:rPr>
                <w:rFonts w:ascii="Palatino Linotype" w:hAnsi="Palatino Linotype"/>
                <w:sz w:val="20"/>
                <w:szCs w:val="20"/>
                <w:lang w:val="la"/>
              </w:rPr>
              <w:t>onsiderare: anschauen, studieren</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ex consuetudine: nach seiner Gewohnheit</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convivium, i n: Gastmahl</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frequens, ntis: gut besucht</w:t>
            </w:r>
          </w:p>
        </w:tc>
      </w:tr>
      <w:tr w:rsidR="00E06F8C">
        <w:tc>
          <w:tcPr>
            <w:tcW w:w="5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after="57"/>
            </w:pPr>
            <w:r>
              <w:rPr>
                <w:rFonts w:ascii="Palatino Linotype" w:hAnsi="Palatino Linotype"/>
                <w:lang w:val="la"/>
              </w:rPr>
              <w:t xml:space="preserve">Deinde post solis occasum </w:t>
            </w:r>
            <w:r>
              <w:rPr>
                <w:rFonts w:ascii="Palatino Linotype" w:hAnsi="Palatino Linotype"/>
                <w:lang w:val="la"/>
              </w:rPr>
              <w:br/>
              <w:t>mulis e proximo pistrino ad vehiculum iunctis</w:t>
            </w:r>
            <w:r>
              <w:rPr>
                <w:rFonts w:ascii="Palatino Linotype" w:hAnsi="Palatino Linotype"/>
                <w:lang w:val="la"/>
              </w:rPr>
              <w:br/>
              <w:t xml:space="preserve">occultissimum iter modico comitatu ingressus est. </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mulus, i m: Maultier</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pistrinum, i n: Mühle</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modicus, a, um: bescheiden, gering</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comitatus, us m: Gefolge, Begleitung</w:t>
            </w:r>
          </w:p>
        </w:tc>
      </w:tr>
      <w:tr w:rsidR="00E06F8C">
        <w:tc>
          <w:tcPr>
            <w:tcW w:w="5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after="57"/>
              <w:rPr>
                <w:rFonts w:ascii="Palatino Linotype" w:hAnsi="Palatino Linotype"/>
                <w:lang w:val="la"/>
              </w:rPr>
            </w:pPr>
            <w:r>
              <w:rPr>
                <w:rFonts w:ascii="Palatino Linotype" w:hAnsi="Palatino Linotype"/>
                <w:lang w:val="la"/>
              </w:rPr>
              <w:t xml:space="preserve">Tum luminibus exstinctis via decessit. </w:t>
            </w:r>
            <w:r>
              <w:rPr>
                <w:rFonts w:ascii="Palatino Linotype" w:hAnsi="Palatino Linotype"/>
                <w:lang w:val="la"/>
              </w:rPr>
              <w:br/>
              <w:t xml:space="preserve">Diu errabundus tandem ad lucem </w:t>
            </w:r>
            <w:r>
              <w:rPr>
                <w:rFonts w:ascii="Palatino Linotype" w:hAnsi="Palatino Linotype"/>
                <w:lang w:val="la"/>
              </w:rPr>
              <w:br/>
              <w:t xml:space="preserve">duce reperto </w:t>
            </w:r>
            <w:r>
              <w:rPr>
                <w:rFonts w:ascii="Palatino Linotype" w:hAnsi="Palatino Linotype"/>
                <w:lang w:val="la"/>
              </w:rPr>
              <w:br/>
              <w:t xml:space="preserve">per angustissimos tramites pedibus evasit. </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lumen, ini</w:t>
            </w:r>
            <w:r>
              <w:rPr>
                <w:rFonts w:ascii="Palatino Linotype" w:hAnsi="Palatino Linotype"/>
                <w:sz w:val="20"/>
                <w:szCs w:val="20"/>
                <w:lang w:val="la"/>
              </w:rPr>
              <w:t>s n: Licht; Fackel</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 xml:space="preserve">errabundus: </w:t>
            </w:r>
            <w:r>
              <w:rPr>
                <w:rFonts w:ascii="Palatino Linotype" w:hAnsi="Palatino Linotype"/>
                <w:i/>
                <w:iCs/>
                <w:sz w:val="20"/>
                <w:szCs w:val="20"/>
                <w:lang w:val="la"/>
              </w:rPr>
              <w:t>[= errans]</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ad lucem: bei Tagesanbruch</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angustus, a, um: schmal</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trames, itis m: Pfad</w:t>
            </w:r>
          </w:p>
        </w:tc>
      </w:tr>
      <w:tr w:rsidR="00E06F8C">
        <w:tc>
          <w:tcPr>
            <w:tcW w:w="5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after="57"/>
            </w:pPr>
            <w:r>
              <w:rPr>
                <w:rFonts w:ascii="Palatino Linotype" w:hAnsi="Palatino Linotype"/>
                <w:lang w:val="la"/>
              </w:rPr>
              <w:t xml:space="preserve">Consecutusque cohortes ad Rubiconem flumen, </w:t>
            </w:r>
            <w:r>
              <w:rPr>
                <w:rFonts w:ascii="Palatino Linotype" w:hAnsi="Palatino Linotype"/>
                <w:lang w:val="la"/>
              </w:rPr>
              <w:br/>
              <w:t xml:space="preserve">qui provinciae eius finis erat, </w:t>
            </w:r>
            <w:r>
              <w:rPr>
                <w:rFonts w:ascii="Palatino Linotype" w:hAnsi="Palatino Linotype"/>
                <w:lang w:val="la"/>
              </w:rPr>
              <w:br/>
              <w:t xml:space="preserve">paulum constitit.  </w:t>
            </w:r>
            <w:r>
              <w:rPr>
                <w:rFonts w:ascii="Palatino Linotype" w:hAnsi="Palatino Linotype"/>
                <w:lang w:val="la"/>
              </w:rPr>
              <w:br/>
              <w:t xml:space="preserve">Reputavit,  quantum moliretur, </w:t>
            </w:r>
            <w:r>
              <w:rPr>
                <w:rFonts w:ascii="Palatino Linotype" w:hAnsi="Palatino Linotype"/>
                <w:lang w:val="la"/>
              </w:rPr>
              <w:br/>
            </w:r>
            <w:r>
              <w:rPr>
                <w:rFonts w:ascii="Palatino Linotype" w:hAnsi="Palatino Linotype"/>
                <w:lang w:val="la"/>
              </w:rPr>
              <w:t xml:space="preserve">et conversus ad proximos: </w:t>
            </w:r>
            <w:r>
              <w:rPr>
                <w:rFonts w:ascii="Palatino Linotype" w:hAnsi="Palatino Linotype"/>
                <w:lang w:val="la"/>
              </w:rPr>
              <w:br/>
              <w:t xml:space="preserve">„Etiam nunc“, inquit, „regredi possumus; </w:t>
            </w:r>
            <w:r>
              <w:rPr>
                <w:rFonts w:ascii="Palatino Linotype" w:hAnsi="Palatino Linotype"/>
                <w:lang w:val="la"/>
              </w:rPr>
              <w:br/>
            </w:r>
            <w:r>
              <w:rPr>
                <w:rFonts w:ascii="Palatino Linotype" w:hAnsi="Palatino Linotype"/>
                <w:lang w:val="la"/>
              </w:rPr>
              <w:lastRenderedPageBreak/>
              <w:t xml:space="preserve">si enim illud ponticulum transierimus, </w:t>
            </w:r>
            <w:r>
              <w:rPr>
                <w:rFonts w:ascii="Palatino Linotype" w:hAnsi="Palatino Linotype"/>
                <w:lang w:val="la"/>
              </w:rPr>
              <w:br/>
              <w:t xml:space="preserve">omnia armis agenda erunt.“ </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beforeAutospacing="0" w:after="57" w:afterAutospacing="0"/>
              <w:rPr>
                <w:sz w:val="20"/>
                <w:szCs w:val="20"/>
              </w:rPr>
            </w:pPr>
            <w:r>
              <w:rPr>
                <w:rFonts w:ascii="Palatino Linotype" w:hAnsi="Palatino Linotype"/>
                <w:sz w:val="20"/>
                <w:szCs w:val="20"/>
                <w:lang w:val="la"/>
              </w:rPr>
              <w:lastRenderedPageBreak/>
              <w:t>consequi, -or, consecutus sum: hinterhereilen; einholen</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reputare: nochmals überlegen</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moliri, -ior, molitus sum: anpacke</w:t>
            </w:r>
            <w:r>
              <w:rPr>
                <w:rFonts w:ascii="Palatino Linotype" w:hAnsi="Palatino Linotype"/>
                <w:sz w:val="20"/>
                <w:szCs w:val="20"/>
                <w:lang w:val="la"/>
              </w:rPr>
              <w:t>n, anfangen, unternehmen</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conversus ad proximos: indem er sich den Umstehenden zuwandte</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lastRenderedPageBreak/>
              <w:t>ponticulum, i n: Brückchen, kleine Brücke</w:t>
            </w:r>
          </w:p>
        </w:tc>
      </w:tr>
      <w:tr w:rsidR="00E06F8C">
        <w:tc>
          <w:tcPr>
            <w:tcW w:w="5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after="57"/>
              <w:rPr>
                <w:rFonts w:ascii="Palatino Linotype" w:hAnsi="Palatino Linotype"/>
                <w:lang w:val="la"/>
              </w:rPr>
            </w:pPr>
            <w:r>
              <w:rPr>
                <w:rFonts w:ascii="Palatino Linotype" w:hAnsi="Palatino Linotype"/>
                <w:lang w:val="la"/>
              </w:rPr>
              <w:lastRenderedPageBreak/>
              <w:t>[</w:t>
            </w:r>
            <w:bookmarkStart w:id="2" w:name="32"/>
            <w:r>
              <w:rPr>
                <w:rFonts w:ascii="Palatino Linotype" w:hAnsi="Palatino Linotype"/>
                <w:lang w:val="la"/>
              </w:rPr>
              <w:t>32</w:t>
            </w:r>
            <w:bookmarkEnd w:id="2"/>
            <w:r>
              <w:rPr>
                <w:rFonts w:ascii="Palatino Linotype" w:hAnsi="Palatino Linotype"/>
                <w:lang w:val="la"/>
              </w:rPr>
              <w:t xml:space="preserve">] Tum autem ostentum tale factum est. </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cunctari: zögern</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ostentum, i n: Wunderzeichen</w:t>
            </w:r>
          </w:p>
        </w:tc>
      </w:tr>
      <w:tr w:rsidR="00E06F8C">
        <w:tc>
          <w:tcPr>
            <w:tcW w:w="5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after="57"/>
            </w:pPr>
            <w:r>
              <w:rPr>
                <w:rFonts w:ascii="Palatino Linotype" w:hAnsi="Palatino Linotype"/>
                <w:lang w:val="la"/>
              </w:rPr>
              <w:t>Vir quidam eximia magnitudine et form</w:t>
            </w:r>
            <w:r>
              <w:rPr>
                <w:rFonts w:ascii="Palatino Linotype" w:hAnsi="Palatino Linotype"/>
                <w:lang w:val="la"/>
              </w:rPr>
              <w:t>a</w:t>
            </w:r>
            <w:r>
              <w:rPr>
                <w:rFonts w:ascii="Palatino Linotype" w:hAnsi="Palatino Linotype"/>
                <w:lang w:val="la"/>
              </w:rPr>
              <w:br/>
              <w:t xml:space="preserve">repente apparuit </w:t>
            </w:r>
            <w:r>
              <w:rPr>
                <w:rFonts w:ascii="Palatino Linotype" w:hAnsi="Palatino Linotype"/>
                <w:lang w:val="la"/>
              </w:rPr>
              <w:br/>
              <w:t xml:space="preserve">in proximo sedens </w:t>
            </w:r>
            <w:r>
              <w:rPr>
                <w:rFonts w:ascii="Palatino Linotype" w:hAnsi="Palatino Linotype"/>
                <w:lang w:val="la"/>
              </w:rPr>
              <w:br/>
              <w:t xml:space="preserve">et harundine canens. </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eximius, a, um: herausragend, besonders</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in proximo: in der Nähe</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 xml:space="preserve">repente </w:t>
            </w:r>
            <w:r>
              <w:rPr>
                <w:rFonts w:ascii="Palatino Linotype" w:hAnsi="Palatino Linotype"/>
                <w:i/>
                <w:iCs/>
                <w:sz w:val="20"/>
                <w:szCs w:val="20"/>
                <w:lang w:val="la"/>
              </w:rPr>
              <w:t>[Adv.]</w:t>
            </w:r>
            <w:r>
              <w:rPr>
                <w:rFonts w:ascii="Palatino Linotype" w:hAnsi="Palatino Linotype"/>
                <w:sz w:val="20"/>
                <w:szCs w:val="20"/>
                <w:lang w:val="la"/>
              </w:rPr>
              <w:t>: plötzlich</w:t>
            </w:r>
          </w:p>
          <w:p w:rsidR="00E06F8C" w:rsidRDefault="00B20CD9">
            <w:pPr>
              <w:pStyle w:val="StandardWeb"/>
              <w:spacing w:before="57" w:beforeAutospacing="0" w:after="57" w:afterAutospacing="0"/>
              <w:rPr>
                <w:sz w:val="20"/>
                <w:szCs w:val="20"/>
              </w:rPr>
            </w:pPr>
            <w:r>
              <w:rPr>
                <w:rFonts w:ascii="Palatino Linotype" w:hAnsi="Palatino Linotype"/>
                <w:sz w:val="20"/>
                <w:szCs w:val="20"/>
                <w:lang w:val="la"/>
              </w:rPr>
              <w:t>harundo, inis f: Rohrflöte</w:t>
            </w:r>
          </w:p>
          <w:p w:rsidR="00E06F8C" w:rsidRDefault="00B20CD9">
            <w:pPr>
              <w:pStyle w:val="StandardWeb"/>
              <w:spacing w:before="57" w:beforeAutospacing="0" w:after="57" w:afterAutospacing="0"/>
              <w:rPr>
                <w:sz w:val="20"/>
                <w:szCs w:val="20"/>
              </w:rPr>
            </w:pPr>
            <w:r>
              <w:rPr>
                <w:rFonts w:ascii="Palatino Linotype" w:hAnsi="Palatino Linotype"/>
                <w:sz w:val="20"/>
                <w:szCs w:val="20"/>
                <w:lang w:val="la"/>
              </w:rPr>
              <w:t xml:space="preserve">canere </w:t>
            </w:r>
            <w:r>
              <w:rPr>
                <w:rFonts w:ascii="Palatino Linotype" w:hAnsi="Palatino Linotype"/>
                <w:i/>
                <w:iCs/>
                <w:sz w:val="20"/>
                <w:szCs w:val="20"/>
                <w:lang w:val="la"/>
              </w:rPr>
              <w:t>[+ Abl.]</w:t>
            </w:r>
            <w:r>
              <w:rPr>
                <w:rFonts w:ascii="Palatino Linotype" w:hAnsi="Palatino Linotype"/>
                <w:sz w:val="20"/>
                <w:szCs w:val="20"/>
                <w:lang w:val="la"/>
              </w:rPr>
              <w:t xml:space="preserve">: spielen </w:t>
            </w:r>
            <w:r>
              <w:rPr>
                <w:rFonts w:ascii="Palatino Linotype" w:hAnsi="Palatino Linotype"/>
                <w:i/>
                <w:iCs/>
                <w:sz w:val="20"/>
                <w:szCs w:val="20"/>
                <w:lang w:val="la"/>
              </w:rPr>
              <w:t>[auf ...]</w:t>
            </w:r>
          </w:p>
        </w:tc>
      </w:tr>
      <w:tr w:rsidR="00E06F8C">
        <w:tc>
          <w:tcPr>
            <w:tcW w:w="5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after="57"/>
            </w:pPr>
            <w:r>
              <w:rPr>
                <w:rFonts w:ascii="Palatino Linotype" w:hAnsi="Palatino Linotype"/>
                <w:lang w:val="la"/>
              </w:rPr>
              <w:t xml:space="preserve">Cum praeter pastores </w:t>
            </w:r>
            <w:r>
              <w:rPr>
                <w:rFonts w:ascii="Palatino Linotype" w:hAnsi="Palatino Linotype"/>
                <w:lang w:val="la"/>
              </w:rPr>
              <w:br/>
              <w:t xml:space="preserve">etiam plurimi </w:t>
            </w:r>
            <w:r>
              <w:rPr>
                <w:rFonts w:ascii="Palatino Linotype" w:hAnsi="Palatino Linotype"/>
                <w:lang w:val="la"/>
              </w:rPr>
              <w:t>milites ex stationibus</w:t>
            </w:r>
            <w:r>
              <w:rPr>
                <w:rFonts w:ascii="Palatino Linotype" w:hAnsi="Palatino Linotype"/>
                <w:lang w:val="la"/>
              </w:rPr>
              <w:br/>
              <w:t xml:space="preserve">concurrissent, </w:t>
            </w:r>
            <w:r>
              <w:rPr>
                <w:rFonts w:ascii="Palatino Linotype" w:hAnsi="Palatino Linotype"/>
                <w:lang w:val="la"/>
              </w:rPr>
              <w:br/>
              <w:t xml:space="preserve">ut illum audirent, </w:t>
            </w:r>
            <w:r>
              <w:rPr>
                <w:rFonts w:ascii="Palatino Linotype" w:hAnsi="Palatino Linotype"/>
                <w:lang w:val="la"/>
              </w:rPr>
              <w:br/>
              <w:t xml:space="preserve">inter quos et aeneatores fuerunt, </w:t>
            </w:r>
            <w:r>
              <w:rPr>
                <w:rFonts w:ascii="Palatino Linotype" w:hAnsi="Palatino Linotype"/>
                <w:lang w:val="la"/>
              </w:rPr>
              <w:br/>
              <w:t xml:space="preserve">rapuit ab uno tubam, </w:t>
            </w:r>
            <w:r>
              <w:rPr>
                <w:rFonts w:ascii="Palatino Linotype" w:hAnsi="Palatino Linotype"/>
                <w:lang w:val="la"/>
              </w:rPr>
              <w:br/>
              <w:t xml:space="preserve">prosiluit ad flumen, </w:t>
            </w:r>
            <w:r>
              <w:rPr>
                <w:rFonts w:ascii="Palatino Linotype" w:hAnsi="Palatino Linotype"/>
                <w:lang w:val="la"/>
              </w:rPr>
              <w:br/>
              <w:t xml:space="preserve">ingenti spiritu classicum exorsus </w:t>
            </w:r>
            <w:r>
              <w:rPr>
                <w:rFonts w:ascii="Palatino Linotype" w:hAnsi="Palatino Linotype"/>
                <w:lang w:val="la"/>
              </w:rPr>
              <w:br/>
              <w:t xml:space="preserve">pertendit ad alteram ripam. </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statio, onis f: Posten</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aenator, oris m: Fanfarenbläser</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tuba, ae f: Fanfare</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prosilire, -io, prosilui: nach vorne springen</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spiritus, us m: Atem</w:t>
            </w:r>
          </w:p>
          <w:p w:rsidR="00E06F8C" w:rsidRDefault="00B20CD9">
            <w:pPr>
              <w:pStyle w:val="StandardWeb"/>
              <w:spacing w:before="57" w:beforeAutospacing="0" w:after="57" w:afterAutospacing="0"/>
              <w:rPr>
                <w:rFonts w:ascii="Palatino Linotype" w:hAnsi="Palatino Linotype"/>
                <w:lang w:val="la"/>
              </w:rPr>
            </w:pPr>
            <w:r>
              <w:rPr>
                <w:rFonts w:ascii="Palatino Linotype" w:hAnsi="Palatino Linotype"/>
                <w:sz w:val="20"/>
                <w:szCs w:val="20"/>
                <w:lang w:val="la"/>
              </w:rPr>
              <w:t>classicum exoriri, -ior, exorsus sum: das Angriffssignal blasen</w:t>
            </w:r>
          </w:p>
          <w:p w:rsidR="00E06F8C" w:rsidRDefault="00B20CD9">
            <w:pPr>
              <w:pStyle w:val="StandardWeb"/>
              <w:spacing w:before="57" w:beforeAutospacing="0" w:after="57" w:afterAutospacing="0"/>
              <w:rPr>
                <w:sz w:val="20"/>
                <w:szCs w:val="20"/>
              </w:rPr>
            </w:pPr>
            <w:r>
              <w:rPr>
                <w:rFonts w:ascii="Palatino Linotype" w:hAnsi="Palatino Linotype"/>
                <w:sz w:val="20"/>
                <w:szCs w:val="20"/>
                <w:lang w:val="la"/>
              </w:rPr>
              <w:t>pertendere, -o, pertendi: hinübereilen, sich hinüberarbeiten</w:t>
            </w:r>
          </w:p>
        </w:tc>
      </w:tr>
      <w:tr w:rsidR="00E06F8C">
        <w:tc>
          <w:tcPr>
            <w:tcW w:w="5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after="57"/>
              <w:rPr>
                <w:rFonts w:ascii="Palatino Linotype" w:hAnsi="Palatino Linotype"/>
                <w:lang w:val="la"/>
              </w:rPr>
            </w:pPr>
            <w:r>
              <w:rPr>
                <w:rFonts w:ascii="Palatino Linotype" w:hAnsi="Palatino Linotype"/>
                <w:lang w:val="la"/>
              </w:rPr>
              <w:t xml:space="preserve">Tunc Caesar: </w:t>
            </w:r>
            <w:r>
              <w:rPr>
                <w:rFonts w:ascii="Palatino Linotype" w:hAnsi="Palatino Linotype"/>
                <w:lang w:val="la"/>
              </w:rPr>
              <w:br/>
              <w:t xml:space="preserve">„Eatur“, inquit, </w:t>
            </w:r>
            <w:r>
              <w:rPr>
                <w:rFonts w:ascii="Palatino Linotype" w:hAnsi="Palatino Linotype"/>
                <w:lang w:val="la"/>
              </w:rPr>
              <w:br/>
              <w:t>„quo deoru</w:t>
            </w:r>
            <w:r>
              <w:rPr>
                <w:rFonts w:ascii="Palatino Linotype" w:hAnsi="Palatino Linotype"/>
                <w:lang w:val="la"/>
              </w:rPr>
              <w:t xml:space="preserve">m ostenta et inimicorum iniquitas vocat. </w:t>
            </w:r>
            <w:r>
              <w:rPr>
                <w:rFonts w:ascii="Palatino Linotype" w:hAnsi="Palatino Linotype"/>
                <w:lang w:val="la"/>
              </w:rPr>
              <w:br/>
              <w:t>Iacta alea est.“</w:t>
            </w:r>
          </w:p>
        </w:tc>
        <w:tc>
          <w:tcPr>
            <w:tcW w:w="41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06F8C" w:rsidRDefault="00B20CD9">
            <w:pPr>
              <w:pStyle w:val="StandardWeb"/>
              <w:spacing w:before="57" w:beforeAutospacing="0" w:after="57" w:afterAutospacing="0"/>
              <w:rPr>
                <w:sz w:val="20"/>
                <w:szCs w:val="20"/>
              </w:rPr>
            </w:pPr>
            <w:r>
              <w:rPr>
                <w:rFonts w:ascii="Palatino Linotype" w:hAnsi="Palatino Linotype"/>
                <w:sz w:val="20"/>
                <w:szCs w:val="20"/>
                <w:lang w:val="la"/>
              </w:rPr>
              <w:t>tunc: = tum</w:t>
            </w:r>
            <w:r>
              <w:rPr>
                <w:rFonts w:ascii="Palatino Linotype" w:hAnsi="Palatino Linotype"/>
                <w:sz w:val="20"/>
                <w:szCs w:val="20"/>
                <w:lang w:val="la"/>
              </w:rPr>
              <w:br/>
              <w:t>iniquitas, tatis f: Ungerechtigkeit</w:t>
            </w:r>
          </w:p>
          <w:p w:rsidR="00E06F8C" w:rsidRDefault="00E06F8C">
            <w:pPr>
              <w:pStyle w:val="StandardWeb"/>
              <w:spacing w:before="57" w:beforeAutospacing="0" w:after="57" w:afterAutospacing="0"/>
              <w:rPr>
                <w:rFonts w:ascii="Palatino Linotype" w:hAnsi="Palatino Linotype"/>
                <w:lang w:val="la"/>
              </w:rPr>
            </w:pPr>
          </w:p>
        </w:tc>
      </w:tr>
    </w:tbl>
    <w:p w:rsidR="00E06F8C" w:rsidRDefault="00E06F8C"/>
    <w:sectPr w:rsidR="00E06F8C">
      <w:headerReference w:type="default" r:id="rId7"/>
      <w:footerReference w:type="default" r:id="rId8"/>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D9" w:rsidRDefault="00B20CD9">
      <w:pPr>
        <w:spacing w:after="0" w:line="240" w:lineRule="auto"/>
      </w:pPr>
      <w:r>
        <w:separator/>
      </w:r>
    </w:p>
  </w:endnote>
  <w:endnote w:type="continuationSeparator" w:id="0">
    <w:p w:rsidR="00B20CD9" w:rsidRDefault="00B2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8C" w:rsidRDefault="00E06F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D9" w:rsidRDefault="00B20CD9">
      <w:pPr>
        <w:spacing w:after="0" w:line="240" w:lineRule="auto"/>
      </w:pPr>
      <w:r>
        <w:separator/>
      </w:r>
    </w:p>
  </w:footnote>
  <w:footnote w:type="continuationSeparator" w:id="0">
    <w:p w:rsidR="00B20CD9" w:rsidRDefault="00B20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8C" w:rsidRDefault="00B20CD9">
    <w:pPr>
      <w:pStyle w:val="Kopfzeile"/>
    </w:pPr>
    <w:r>
      <w:t>Version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8C"/>
    <w:rsid w:val="00881A6B"/>
    <w:rsid w:val="00B20CD9"/>
    <w:rsid w:val="00E06F8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6587D"/>
    <w:rPr>
      <w:sz w:val="22"/>
      <w:szCs w:val="22"/>
      <w:lang w:eastAsia="en-US"/>
    </w:rPr>
  </w:style>
  <w:style w:type="character" w:customStyle="1" w:styleId="FuzeileZchn">
    <w:name w:val="Fußzeile Zchn"/>
    <w:basedOn w:val="Absatz-Standardschriftart"/>
    <w:link w:val="Fuzeile"/>
    <w:uiPriority w:val="99"/>
    <w:qFormat/>
    <w:rsid w:val="0066587D"/>
    <w:rPr>
      <w:sz w:val="22"/>
      <w:szCs w:val="22"/>
      <w:lang w:eastAsia="en-US"/>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StandardWeb">
    <w:name w:val="Normal (Web)"/>
    <w:basedOn w:val="Standard"/>
    <w:uiPriority w:val="99"/>
    <w:semiHidden/>
    <w:qFormat/>
    <w:rsid w:val="00941C62"/>
    <w:pPr>
      <w:spacing w:beforeAutospacing="1" w:afterAutospacing="1" w:line="240" w:lineRule="auto"/>
    </w:pPr>
    <w:rPr>
      <w:rFonts w:ascii="Arial Unicode MS" w:eastAsia="Arial Unicode MS" w:hAnsi="Arial Unicode MS" w:cs="Arial Unicode MS"/>
      <w:sz w:val="24"/>
      <w:szCs w:val="24"/>
      <w:lang w:eastAsia="de-DE"/>
    </w:rPr>
  </w:style>
  <w:style w:type="paragraph" w:customStyle="1" w:styleId="poetry">
    <w:name w:val="poetry"/>
    <w:basedOn w:val="Standard"/>
    <w:qFormat/>
    <w:rsid w:val="00941C62"/>
    <w:pPr>
      <w:spacing w:beforeAutospacing="1"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66587D"/>
    <w:pPr>
      <w:tabs>
        <w:tab w:val="center" w:pos="4536"/>
        <w:tab w:val="right" w:pos="9072"/>
      </w:tabs>
      <w:spacing w:after="0" w:line="240" w:lineRule="auto"/>
    </w:pPr>
  </w:style>
  <w:style w:type="paragraph" w:styleId="Fuzeile">
    <w:name w:val="footer"/>
    <w:basedOn w:val="Standard"/>
    <w:link w:val="FuzeileZchn"/>
    <w:uiPriority w:val="99"/>
    <w:unhideWhenUsed/>
    <w:rsid w:val="0066587D"/>
    <w:pPr>
      <w:tabs>
        <w:tab w:val="center" w:pos="4536"/>
        <w:tab w:val="right" w:pos="9072"/>
      </w:tabs>
      <w:spacing w:after="0" w:line="240" w:lineRule="auto"/>
    </w:pPr>
  </w:style>
  <w:style w:type="table" w:styleId="Tabellenraster">
    <w:name w:val="Table Grid"/>
    <w:basedOn w:val="NormaleTabelle"/>
    <w:uiPriority w:val="59"/>
    <w:rsid w:val="005B2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6587D"/>
    <w:rPr>
      <w:sz w:val="22"/>
      <w:szCs w:val="22"/>
      <w:lang w:eastAsia="en-US"/>
    </w:rPr>
  </w:style>
  <w:style w:type="character" w:customStyle="1" w:styleId="FuzeileZchn">
    <w:name w:val="Fußzeile Zchn"/>
    <w:basedOn w:val="Absatz-Standardschriftart"/>
    <w:link w:val="Fuzeile"/>
    <w:uiPriority w:val="99"/>
    <w:qFormat/>
    <w:rsid w:val="0066587D"/>
    <w:rPr>
      <w:sz w:val="22"/>
      <w:szCs w:val="22"/>
      <w:lang w:eastAsia="en-US"/>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StandardWeb">
    <w:name w:val="Normal (Web)"/>
    <w:basedOn w:val="Standard"/>
    <w:uiPriority w:val="99"/>
    <w:semiHidden/>
    <w:qFormat/>
    <w:rsid w:val="00941C62"/>
    <w:pPr>
      <w:spacing w:beforeAutospacing="1" w:afterAutospacing="1" w:line="240" w:lineRule="auto"/>
    </w:pPr>
    <w:rPr>
      <w:rFonts w:ascii="Arial Unicode MS" w:eastAsia="Arial Unicode MS" w:hAnsi="Arial Unicode MS" w:cs="Arial Unicode MS"/>
      <w:sz w:val="24"/>
      <w:szCs w:val="24"/>
      <w:lang w:eastAsia="de-DE"/>
    </w:rPr>
  </w:style>
  <w:style w:type="paragraph" w:customStyle="1" w:styleId="poetry">
    <w:name w:val="poetry"/>
    <w:basedOn w:val="Standard"/>
    <w:qFormat/>
    <w:rsid w:val="00941C62"/>
    <w:pPr>
      <w:spacing w:beforeAutospacing="1"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66587D"/>
    <w:pPr>
      <w:tabs>
        <w:tab w:val="center" w:pos="4536"/>
        <w:tab w:val="right" w:pos="9072"/>
      </w:tabs>
      <w:spacing w:after="0" w:line="240" w:lineRule="auto"/>
    </w:pPr>
  </w:style>
  <w:style w:type="paragraph" w:styleId="Fuzeile">
    <w:name w:val="footer"/>
    <w:basedOn w:val="Standard"/>
    <w:link w:val="FuzeileZchn"/>
    <w:uiPriority w:val="99"/>
    <w:unhideWhenUsed/>
    <w:rsid w:val="0066587D"/>
    <w:pPr>
      <w:tabs>
        <w:tab w:val="center" w:pos="4536"/>
        <w:tab w:val="right" w:pos="9072"/>
      </w:tabs>
      <w:spacing w:after="0" w:line="240" w:lineRule="auto"/>
    </w:pPr>
  </w:style>
  <w:style w:type="table" w:styleId="Tabellenraster">
    <w:name w:val="Table Grid"/>
    <w:basedOn w:val="NormaleTabelle"/>
    <w:uiPriority w:val="59"/>
    <w:rsid w:val="005B2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2960</Characters>
  <Application>Microsoft Office Word</Application>
  <DocSecurity>0</DocSecurity>
  <Lines>24</Lines>
  <Paragraphs>6</Paragraphs>
  <ScaleCrop>false</ScaleCrop>
  <Company>Innenverwaltung</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Antoninus</dc:creator>
  <dc:description/>
  <cp:lastModifiedBy>Antoninus</cp:lastModifiedBy>
  <cp:revision>15</cp:revision>
  <dcterms:created xsi:type="dcterms:W3CDTF">2016-05-12T12:40:00Z</dcterms:created>
  <dcterms:modified xsi:type="dcterms:W3CDTF">2016-11-14T14:57:00Z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Innenverwaltung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