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12384" w14:textId="7C907188" w:rsidR="00CB6395" w:rsidRPr="005C20CA" w:rsidRDefault="00CB6395" w:rsidP="00B036B3">
      <w:pPr>
        <w:pStyle w:val="Listenabsatz"/>
        <w:numPr>
          <w:ilvl w:val="1"/>
          <w:numId w:val="3"/>
        </w:numPr>
        <w:rPr>
          <w:sz w:val="32"/>
          <w:szCs w:val="32"/>
        </w:rPr>
      </w:pPr>
      <w:r w:rsidRPr="00B036B3">
        <w:rPr>
          <w:b/>
          <w:bCs/>
          <w:sz w:val="32"/>
          <w:szCs w:val="32"/>
        </w:rPr>
        <w:t>Einstieg über motivgleiche Fabeln</w:t>
      </w:r>
    </w:p>
    <w:p w14:paraId="4C60732E" w14:textId="77777777" w:rsidR="005C20CA" w:rsidRPr="005C20CA" w:rsidRDefault="005C20CA" w:rsidP="005C20CA">
      <w:pPr>
        <w:rPr>
          <w:sz w:val="32"/>
          <w:szCs w:val="32"/>
        </w:rPr>
      </w:pPr>
    </w:p>
    <w:p w14:paraId="264DCB6D" w14:textId="0D1C729D" w:rsidR="00CB6395" w:rsidRPr="00CB6395" w:rsidRDefault="00CB6395" w:rsidP="00CB6395">
      <w:pPr>
        <w:rPr>
          <w:b/>
          <w:bCs/>
          <w:sz w:val="28"/>
          <w:szCs w:val="28"/>
        </w:rPr>
      </w:pPr>
      <w:r w:rsidRPr="00CB6395">
        <w:rPr>
          <w:b/>
          <w:bCs/>
          <w:sz w:val="28"/>
          <w:szCs w:val="28"/>
        </w:rPr>
        <w:t>Motivgleiche Fabeln vergleichen:</w:t>
      </w:r>
    </w:p>
    <w:p w14:paraId="3028D57D" w14:textId="6043C80E" w:rsidR="005C20CA" w:rsidRDefault="005C20CA" w:rsidP="005C20CA">
      <w:pPr>
        <w:spacing w:after="0" w:line="240" w:lineRule="auto"/>
        <w:rPr>
          <w:b/>
          <w:bCs/>
          <w:sz w:val="24"/>
          <w:szCs w:val="24"/>
        </w:rPr>
      </w:pPr>
      <w:r>
        <w:rPr>
          <w:b/>
          <w:bCs/>
          <w:sz w:val="24"/>
          <w:szCs w:val="24"/>
        </w:rPr>
        <w:t>M1</w:t>
      </w:r>
    </w:p>
    <w:p w14:paraId="4138388E" w14:textId="17659C46" w:rsidR="00CB6395" w:rsidRPr="00CB6395" w:rsidRDefault="00CB6395" w:rsidP="005C20CA">
      <w:pPr>
        <w:spacing w:after="0" w:line="240" w:lineRule="auto"/>
        <w:rPr>
          <w:b/>
          <w:bCs/>
          <w:sz w:val="24"/>
          <w:szCs w:val="24"/>
        </w:rPr>
      </w:pPr>
      <w:r w:rsidRPr="00CB6395">
        <w:rPr>
          <w:b/>
          <w:bCs/>
          <w:sz w:val="24"/>
          <w:szCs w:val="24"/>
        </w:rPr>
        <w:t>Aesop: Die 34. Fabel, von der Ameise und der Grille</w:t>
      </w:r>
    </w:p>
    <w:p w14:paraId="0CB798AA" w14:textId="77777777" w:rsidR="005C20CA" w:rsidRDefault="005C20CA" w:rsidP="005C20CA">
      <w:pPr>
        <w:spacing w:after="0" w:line="240" w:lineRule="auto"/>
      </w:pPr>
    </w:p>
    <w:p w14:paraId="1E456A74" w14:textId="161A5EE8" w:rsidR="00CB6395" w:rsidRPr="00CB6395" w:rsidRDefault="00CB6395" w:rsidP="005C20CA">
      <w:pPr>
        <w:spacing w:after="0" w:line="240" w:lineRule="auto"/>
        <w:rPr>
          <w:sz w:val="18"/>
          <w:szCs w:val="18"/>
        </w:rPr>
      </w:pPr>
      <w:r w:rsidRPr="00CB6395">
        <w:rPr>
          <w:sz w:val="18"/>
          <w:szCs w:val="18"/>
        </w:rPr>
        <w:t xml:space="preserve">(Nach </w:t>
      </w:r>
      <w:proofErr w:type="spellStart"/>
      <w:r w:rsidRPr="00CB6395">
        <w:rPr>
          <w:sz w:val="18"/>
          <w:szCs w:val="18"/>
        </w:rPr>
        <w:t>Steinhöwels</w:t>
      </w:r>
      <w:proofErr w:type="spellEnd"/>
      <w:r w:rsidRPr="00CB6395">
        <w:rPr>
          <w:sz w:val="18"/>
          <w:szCs w:val="18"/>
        </w:rPr>
        <w:t xml:space="preserve"> »Erneuertem </w:t>
      </w:r>
      <w:proofErr w:type="spellStart"/>
      <w:r w:rsidRPr="00CB6395">
        <w:rPr>
          <w:sz w:val="18"/>
          <w:szCs w:val="18"/>
        </w:rPr>
        <w:t>Esopus</w:t>
      </w:r>
      <w:proofErr w:type="spellEnd"/>
      <w:r w:rsidRPr="00CB6395">
        <w:rPr>
          <w:sz w:val="18"/>
          <w:szCs w:val="18"/>
        </w:rPr>
        <w:t>« bearbeitet von Victor Zobel. Illustriert,</w:t>
      </w:r>
    </w:p>
    <w:p w14:paraId="6811A8C6" w14:textId="77777777" w:rsidR="00CB6395" w:rsidRPr="00CB6395" w:rsidRDefault="0074546E" w:rsidP="005C20CA">
      <w:pPr>
        <w:spacing w:after="0" w:line="240" w:lineRule="auto"/>
        <w:rPr>
          <w:sz w:val="18"/>
          <w:szCs w:val="18"/>
        </w:rPr>
      </w:pPr>
      <w:hyperlink r:id="rId5" w:history="1">
        <w:r w:rsidR="00CB6395" w:rsidRPr="00CB6395">
          <w:rPr>
            <w:rStyle w:val="Hyperlink"/>
            <w:sz w:val="18"/>
            <w:szCs w:val="18"/>
          </w:rPr>
          <w:t>https://www.projekt-gutenberg.org/aesop/fabeln1/chap034.html</w:t>
        </w:r>
      </w:hyperlink>
      <w:r w:rsidR="00CB6395" w:rsidRPr="00CB6395">
        <w:rPr>
          <w:sz w:val="18"/>
          <w:szCs w:val="18"/>
        </w:rPr>
        <w:t>)</w:t>
      </w:r>
    </w:p>
    <w:p w14:paraId="518EA117" w14:textId="77777777" w:rsidR="005C20CA" w:rsidRDefault="005C20CA" w:rsidP="005C20CA">
      <w:pPr>
        <w:spacing w:after="0" w:line="240" w:lineRule="auto"/>
        <w:rPr>
          <w:b/>
          <w:bCs/>
          <w:sz w:val="24"/>
          <w:szCs w:val="24"/>
        </w:rPr>
      </w:pPr>
    </w:p>
    <w:p w14:paraId="6B57ED45" w14:textId="69B14AC7" w:rsidR="00CB6395" w:rsidRDefault="00CB6395" w:rsidP="005C20CA">
      <w:pPr>
        <w:spacing w:after="0" w:line="240" w:lineRule="auto"/>
        <w:rPr>
          <w:b/>
          <w:bCs/>
          <w:sz w:val="24"/>
          <w:szCs w:val="24"/>
        </w:rPr>
      </w:pPr>
      <w:r>
        <w:rPr>
          <w:b/>
          <w:bCs/>
          <w:sz w:val="24"/>
          <w:szCs w:val="24"/>
        </w:rPr>
        <w:t>M2</w:t>
      </w:r>
    </w:p>
    <w:p w14:paraId="08849C75" w14:textId="3F278CF8" w:rsidR="00CB6395" w:rsidRPr="00CB6395" w:rsidRDefault="00CB6395" w:rsidP="005C20CA">
      <w:pPr>
        <w:spacing w:after="0" w:line="240" w:lineRule="auto"/>
        <w:rPr>
          <w:b/>
          <w:bCs/>
          <w:sz w:val="24"/>
          <w:szCs w:val="24"/>
        </w:rPr>
      </w:pPr>
      <w:r w:rsidRPr="00CB6395">
        <w:rPr>
          <w:b/>
          <w:bCs/>
          <w:sz w:val="24"/>
          <w:szCs w:val="24"/>
        </w:rPr>
        <w:t>Jean de la Fontaine:  1. Die Grille und die Ameise</w:t>
      </w:r>
    </w:p>
    <w:p w14:paraId="7F106D14" w14:textId="77777777" w:rsidR="00CB6395" w:rsidRPr="005C20CA" w:rsidRDefault="00CB6395" w:rsidP="005C20CA">
      <w:pPr>
        <w:spacing w:after="0" w:line="240" w:lineRule="auto"/>
        <w:rPr>
          <w:sz w:val="18"/>
          <w:szCs w:val="18"/>
        </w:rPr>
      </w:pPr>
      <w:r w:rsidRPr="00CB6395">
        <w:rPr>
          <w:sz w:val="18"/>
          <w:szCs w:val="18"/>
        </w:rPr>
        <w:t xml:space="preserve">(Jean de la Fontaine: Fabeln, dt. von Ernst Dohm) </w:t>
      </w:r>
    </w:p>
    <w:p w14:paraId="28253462" w14:textId="5CB3C2B8" w:rsidR="00CB6395" w:rsidRPr="00CB6395" w:rsidRDefault="0074546E" w:rsidP="005C20CA">
      <w:pPr>
        <w:spacing w:after="0" w:line="240" w:lineRule="auto"/>
        <w:rPr>
          <w:sz w:val="18"/>
          <w:szCs w:val="18"/>
        </w:rPr>
      </w:pPr>
      <w:hyperlink r:id="rId6" w:history="1">
        <w:r w:rsidR="00CB6395" w:rsidRPr="00CB6395">
          <w:rPr>
            <w:rStyle w:val="Hyperlink"/>
            <w:sz w:val="18"/>
            <w:szCs w:val="18"/>
          </w:rPr>
          <w:t>https://www.projekt-gutenberg.org/fontaine/fabeln1/chap002.html</w:t>
        </w:r>
      </w:hyperlink>
    </w:p>
    <w:p w14:paraId="54803257" w14:textId="77777777" w:rsidR="00CB6395" w:rsidRDefault="00CB6395" w:rsidP="005C20CA">
      <w:pPr>
        <w:spacing w:after="0" w:line="240" w:lineRule="auto"/>
        <w:rPr>
          <w:b/>
          <w:bCs/>
          <w:sz w:val="24"/>
          <w:szCs w:val="24"/>
        </w:rPr>
      </w:pPr>
    </w:p>
    <w:p w14:paraId="5B683633" w14:textId="55182259" w:rsidR="00CB6395" w:rsidRDefault="00CB6395" w:rsidP="005C20CA">
      <w:pPr>
        <w:spacing w:after="0" w:line="240" w:lineRule="auto"/>
        <w:rPr>
          <w:b/>
          <w:bCs/>
          <w:sz w:val="24"/>
          <w:szCs w:val="24"/>
        </w:rPr>
      </w:pPr>
      <w:r>
        <w:rPr>
          <w:b/>
          <w:bCs/>
          <w:sz w:val="24"/>
          <w:szCs w:val="24"/>
        </w:rPr>
        <w:t>M3</w:t>
      </w:r>
    </w:p>
    <w:p w14:paraId="365766D9" w14:textId="0BD09170" w:rsidR="00CB6395" w:rsidRPr="00CB6395" w:rsidRDefault="00CB6395" w:rsidP="005C20CA">
      <w:pPr>
        <w:spacing w:after="0" w:line="240" w:lineRule="auto"/>
        <w:rPr>
          <w:b/>
          <w:bCs/>
          <w:sz w:val="24"/>
          <w:szCs w:val="24"/>
        </w:rPr>
      </w:pPr>
      <w:r w:rsidRPr="00CB6395">
        <w:rPr>
          <w:b/>
          <w:bCs/>
          <w:sz w:val="24"/>
          <w:szCs w:val="24"/>
        </w:rPr>
        <w:t>Georg Born: Sie tanzte nur einen Winter (1955)</w:t>
      </w:r>
    </w:p>
    <w:p w14:paraId="00608139" w14:textId="77777777" w:rsidR="00CB6395" w:rsidRPr="00CB6395" w:rsidRDefault="00CB6395" w:rsidP="005C20CA">
      <w:pPr>
        <w:spacing w:after="0" w:line="240" w:lineRule="auto"/>
      </w:pPr>
      <w:r w:rsidRPr="00CB6395">
        <w:t>Aus: Therese Poser (</w:t>
      </w:r>
      <w:proofErr w:type="spellStart"/>
      <w:r w:rsidRPr="00CB6395">
        <w:t>Hg</w:t>
      </w:r>
      <w:proofErr w:type="spellEnd"/>
      <w:r w:rsidRPr="00CB6395">
        <w:t xml:space="preserve">.): Fabeln. Arbeitstexte für den Unterricht. Stuttgart: </w:t>
      </w:r>
      <w:proofErr w:type="spellStart"/>
      <w:r w:rsidRPr="00CB6395">
        <w:t>reclam</w:t>
      </w:r>
      <w:proofErr w:type="spellEnd"/>
      <w:r w:rsidRPr="00CB6395">
        <w:t xml:space="preserve"> 1975, S.47</w:t>
      </w:r>
    </w:p>
    <w:p w14:paraId="114A14F8" w14:textId="77777777" w:rsidR="00CB6395" w:rsidRPr="00CB6395" w:rsidRDefault="00CB6395" w:rsidP="005C20CA">
      <w:pPr>
        <w:spacing w:after="0" w:line="240" w:lineRule="auto"/>
      </w:pPr>
    </w:p>
    <w:p w14:paraId="1226CA8D" w14:textId="77777777" w:rsidR="00CB6395" w:rsidRDefault="00CB6395" w:rsidP="005C20CA">
      <w:pPr>
        <w:spacing w:after="0" w:line="240" w:lineRule="auto"/>
        <w:rPr>
          <w:b/>
          <w:bCs/>
          <w:sz w:val="24"/>
          <w:szCs w:val="24"/>
        </w:rPr>
      </w:pPr>
      <w:r>
        <w:rPr>
          <w:b/>
          <w:bCs/>
          <w:sz w:val="24"/>
          <w:szCs w:val="24"/>
        </w:rPr>
        <w:t>M4</w:t>
      </w:r>
    </w:p>
    <w:p w14:paraId="6213167B" w14:textId="39306F33" w:rsidR="00CB6395" w:rsidRPr="00CB6395" w:rsidRDefault="00CB6395" w:rsidP="005C20CA">
      <w:pPr>
        <w:spacing w:after="0" w:line="240" w:lineRule="auto"/>
        <w:rPr>
          <w:b/>
          <w:bCs/>
          <w:sz w:val="24"/>
          <w:szCs w:val="24"/>
        </w:rPr>
      </w:pPr>
      <w:r w:rsidRPr="00CB6395">
        <w:rPr>
          <w:b/>
          <w:bCs/>
          <w:sz w:val="24"/>
          <w:szCs w:val="24"/>
        </w:rPr>
        <w:t>Helmut Arntzen (1966)</w:t>
      </w:r>
    </w:p>
    <w:p w14:paraId="11525139" w14:textId="317D3018" w:rsidR="00CB6395" w:rsidRPr="00CB6395" w:rsidRDefault="00CB6395" w:rsidP="005C20CA">
      <w:pPr>
        <w:spacing w:after="0" w:line="240" w:lineRule="auto"/>
      </w:pPr>
      <w:r w:rsidRPr="00CB6395">
        <w:t>Was Singen und Arbeiten betrifft</w:t>
      </w:r>
      <w:r w:rsidR="0074546E">
        <w:t xml:space="preserve"> […]</w:t>
      </w:r>
      <w:r w:rsidRPr="00CB6395">
        <w:t>, aber Ratschläge für Ameisen.</w:t>
      </w:r>
    </w:p>
    <w:p w14:paraId="1E02A9E9" w14:textId="1ECECB9D" w:rsidR="00CB6395" w:rsidRPr="00CB6395" w:rsidRDefault="00CB6395" w:rsidP="005C20CA">
      <w:pPr>
        <w:spacing w:after="0" w:line="240" w:lineRule="auto"/>
      </w:pPr>
      <w:r w:rsidRPr="00CB6395">
        <w:t xml:space="preserve"> Aus: Reinhard </w:t>
      </w:r>
      <w:proofErr w:type="spellStart"/>
      <w:r w:rsidRPr="00CB6395">
        <w:t>Dithmar</w:t>
      </w:r>
      <w:proofErr w:type="spellEnd"/>
      <w:r w:rsidR="005C20CA">
        <w:t xml:space="preserve"> </w:t>
      </w:r>
      <w:r w:rsidRPr="00CB6395">
        <w:t>(</w:t>
      </w:r>
      <w:proofErr w:type="spellStart"/>
      <w:r w:rsidRPr="00CB6395">
        <w:t>Hg</w:t>
      </w:r>
      <w:proofErr w:type="spellEnd"/>
      <w:r w:rsidRPr="00CB6395">
        <w:t>.): Fabeln, Parabeln und Gleichnisse. Paderborn: Schöningh1995, S.332</w:t>
      </w:r>
    </w:p>
    <w:p w14:paraId="1E2982A0" w14:textId="77777777" w:rsidR="00CB6395" w:rsidRDefault="00CB6395" w:rsidP="005C20CA">
      <w:pPr>
        <w:spacing w:after="0" w:line="240" w:lineRule="auto"/>
        <w:rPr>
          <w:b/>
          <w:bCs/>
          <w:sz w:val="24"/>
          <w:szCs w:val="24"/>
        </w:rPr>
      </w:pPr>
    </w:p>
    <w:p w14:paraId="3E436471" w14:textId="4EA5E5E8" w:rsidR="00CB6395" w:rsidRDefault="00CB6395" w:rsidP="005C20CA">
      <w:pPr>
        <w:spacing w:after="0" w:line="240" w:lineRule="auto"/>
        <w:rPr>
          <w:b/>
          <w:bCs/>
          <w:sz w:val="24"/>
          <w:szCs w:val="24"/>
        </w:rPr>
      </w:pPr>
      <w:r>
        <w:rPr>
          <w:b/>
          <w:bCs/>
          <w:sz w:val="24"/>
          <w:szCs w:val="24"/>
        </w:rPr>
        <w:t>M</w:t>
      </w:r>
      <w:r w:rsidR="005C20CA">
        <w:rPr>
          <w:b/>
          <w:bCs/>
          <w:sz w:val="24"/>
          <w:szCs w:val="24"/>
        </w:rPr>
        <w:t>5</w:t>
      </w:r>
    </w:p>
    <w:p w14:paraId="673D1DF1" w14:textId="41F71091" w:rsidR="00CB6395" w:rsidRPr="00CB6395" w:rsidRDefault="00CB6395" w:rsidP="005C20CA">
      <w:pPr>
        <w:spacing w:after="0" w:line="240" w:lineRule="auto"/>
        <w:rPr>
          <w:b/>
          <w:bCs/>
          <w:sz w:val="24"/>
          <w:szCs w:val="24"/>
        </w:rPr>
      </w:pPr>
      <w:r w:rsidRPr="00CB6395">
        <w:rPr>
          <w:b/>
          <w:bCs/>
          <w:sz w:val="24"/>
          <w:szCs w:val="24"/>
        </w:rPr>
        <w:t>Janosch: Die Fiedelgrille und der Maulwurf (1985)</w:t>
      </w:r>
    </w:p>
    <w:p w14:paraId="07543BF5" w14:textId="77777777" w:rsidR="005C20CA" w:rsidRDefault="005C20CA" w:rsidP="005C20CA">
      <w:pPr>
        <w:spacing w:after="0" w:line="240" w:lineRule="auto"/>
      </w:pPr>
    </w:p>
    <w:p w14:paraId="0C5DB2C9" w14:textId="59E7F380" w:rsidR="00CB6395" w:rsidRDefault="00CB6395" w:rsidP="005C20CA">
      <w:pPr>
        <w:spacing w:after="0" w:line="240" w:lineRule="auto"/>
        <w:rPr>
          <w:sz w:val="18"/>
          <w:szCs w:val="18"/>
        </w:rPr>
      </w:pPr>
      <w:r w:rsidRPr="00CB6395">
        <w:rPr>
          <w:sz w:val="18"/>
          <w:szCs w:val="18"/>
        </w:rPr>
        <w:t xml:space="preserve">Aus: Janosch: Die Fiedelgrille und der Maulwurf. Zürich: Diogenes 1985. Neu in: Janoschs Tierische Parade. Die schönsten Vorlesegeschichten. Weinheim‐Basel: </w:t>
      </w:r>
      <w:proofErr w:type="spellStart"/>
      <w:r w:rsidRPr="00CB6395">
        <w:rPr>
          <w:sz w:val="18"/>
          <w:szCs w:val="18"/>
        </w:rPr>
        <w:t>Beltz&amp;Gelberg</w:t>
      </w:r>
      <w:proofErr w:type="spellEnd"/>
      <w:r w:rsidRPr="00CB6395">
        <w:rPr>
          <w:sz w:val="18"/>
          <w:szCs w:val="18"/>
        </w:rPr>
        <w:t xml:space="preserve"> 2011, S.5‐24.</w:t>
      </w:r>
    </w:p>
    <w:p w14:paraId="3275600D" w14:textId="77777777" w:rsidR="005C20CA" w:rsidRPr="00CB6395" w:rsidRDefault="005C20CA" w:rsidP="005C20CA">
      <w:pPr>
        <w:spacing w:after="0" w:line="240" w:lineRule="auto"/>
        <w:rPr>
          <w:sz w:val="18"/>
          <w:szCs w:val="18"/>
        </w:rPr>
      </w:pPr>
    </w:p>
    <w:p w14:paraId="01A08617" w14:textId="77777777" w:rsidR="00CB6395" w:rsidRPr="00CB6395" w:rsidRDefault="00CB6395" w:rsidP="005C20CA">
      <w:pPr>
        <w:spacing w:after="0" w:line="240" w:lineRule="auto"/>
      </w:pPr>
      <w:r w:rsidRPr="00CB6395">
        <w:rPr>
          <w:sz w:val="18"/>
          <w:szCs w:val="18"/>
        </w:rPr>
        <w:t xml:space="preserve">Born, Arntzen, Janosch unter folgendem Link: </w:t>
      </w:r>
      <w:hyperlink r:id="rId7" w:history="1">
        <w:r w:rsidRPr="00CB6395">
          <w:rPr>
            <w:rStyle w:val="Hyperlink"/>
            <w:sz w:val="18"/>
            <w:szCs w:val="18"/>
          </w:rPr>
          <w:t>https://germanistik.uni-wuppertal.de//fileadmin/germanistik/Teilfächer/Didaktik/</w:t>
        </w:r>
      </w:hyperlink>
      <w:hyperlink r:id="rId8" w:history="1">
        <w:r w:rsidRPr="00CB6395">
          <w:rPr>
            <w:rStyle w:val="Hyperlink"/>
            <w:sz w:val="18"/>
            <w:szCs w:val="18"/>
          </w:rPr>
          <w:t>Personal/Nickel-Bacon/Und_sie_machten_sich_ein_ein_schönes_warmes_Leben_zusammen.pdf</w:t>
        </w:r>
      </w:hyperlink>
    </w:p>
    <w:p w14:paraId="0644D542" w14:textId="34947CE7" w:rsidR="00CB6395" w:rsidRDefault="00CB6395" w:rsidP="005C20CA">
      <w:pPr>
        <w:spacing w:after="0" w:line="240" w:lineRule="auto"/>
      </w:pPr>
    </w:p>
    <w:p w14:paraId="3F88743F" w14:textId="60407849" w:rsidR="00B036B3" w:rsidRPr="00CB6395" w:rsidRDefault="00B036B3" w:rsidP="005C20CA">
      <w:pPr>
        <w:spacing w:after="0" w:line="240" w:lineRule="auto"/>
        <w:rPr>
          <w:b/>
          <w:bCs/>
          <w:sz w:val="24"/>
          <w:szCs w:val="24"/>
        </w:rPr>
      </w:pPr>
      <w:r w:rsidRPr="005C20CA">
        <w:rPr>
          <w:b/>
          <w:bCs/>
          <w:sz w:val="24"/>
          <w:szCs w:val="24"/>
        </w:rPr>
        <w:t>Arbeitsaufträge:</w:t>
      </w:r>
    </w:p>
    <w:p w14:paraId="1722B8CB" w14:textId="77777777" w:rsidR="00B036B3" w:rsidRPr="00B036B3" w:rsidRDefault="00B036B3" w:rsidP="005C20CA">
      <w:pPr>
        <w:numPr>
          <w:ilvl w:val="0"/>
          <w:numId w:val="1"/>
        </w:numPr>
        <w:spacing w:after="0" w:line="240" w:lineRule="auto"/>
        <w:rPr>
          <w:bCs/>
        </w:rPr>
      </w:pPr>
      <w:r w:rsidRPr="00B036B3">
        <w:rPr>
          <w:bCs/>
        </w:rPr>
        <w:t>Lesen Sie die einzelnen Fabeln und notieren Sie jeweils eine Deutungshypothese. Worum geht es bei jeder der Fabeln?</w:t>
      </w:r>
    </w:p>
    <w:p w14:paraId="2A180A41" w14:textId="77777777" w:rsidR="00B036B3" w:rsidRPr="00B036B3" w:rsidRDefault="00B036B3" w:rsidP="005C20CA">
      <w:pPr>
        <w:numPr>
          <w:ilvl w:val="0"/>
          <w:numId w:val="1"/>
        </w:numPr>
        <w:spacing w:after="0" w:line="240" w:lineRule="auto"/>
        <w:rPr>
          <w:bCs/>
        </w:rPr>
      </w:pPr>
      <w:r w:rsidRPr="00B036B3">
        <w:rPr>
          <w:bCs/>
        </w:rPr>
        <w:t>Vergleichen Sie die Fabeln miteinander. Welche Gemeinsamkeiten und welche Unterschiede lassen sich feststellen. Notieren Sie sie.</w:t>
      </w:r>
    </w:p>
    <w:p w14:paraId="774E3687" w14:textId="46C9DC72" w:rsidR="00B036B3" w:rsidRDefault="00B036B3" w:rsidP="005C20CA">
      <w:pPr>
        <w:numPr>
          <w:ilvl w:val="0"/>
          <w:numId w:val="1"/>
        </w:numPr>
        <w:spacing w:after="0" w:line="240" w:lineRule="auto"/>
      </w:pPr>
      <w:r w:rsidRPr="00B036B3">
        <w:t xml:space="preserve">Reflektieren Sie Ihr Tun. Welche Aspekte haben Sie verglichen. Stellen Sie einen „Katalog“ dieser Vergleichskriterien zusammen. </w:t>
      </w:r>
    </w:p>
    <w:p w14:paraId="491AE55E" w14:textId="27DE2CD4" w:rsidR="005C20CA" w:rsidRDefault="005C20CA" w:rsidP="005C20CA">
      <w:pPr>
        <w:spacing w:after="0" w:line="240" w:lineRule="auto"/>
      </w:pPr>
    </w:p>
    <w:p w14:paraId="116A8727" w14:textId="3ECF973E" w:rsidR="005C20CA" w:rsidRDefault="005C20CA" w:rsidP="005C20CA">
      <w:pPr>
        <w:spacing w:after="0" w:line="240" w:lineRule="auto"/>
      </w:pPr>
    </w:p>
    <w:p w14:paraId="3CEA0894" w14:textId="77777777" w:rsidR="005C20CA" w:rsidRPr="00B036B3" w:rsidRDefault="005C20CA" w:rsidP="005C20CA">
      <w:pPr>
        <w:spacing w:after="0" w:line="240" w:lineRule="auto"/>
      </w:pPr>
    </w:p>
    <w:p w14:paraId="613E2774" w14:textId="77777777" w:rsidR="0074546E" w:rsidRDefault="0074546E" w:rsidP="005C20CA">
      <w:pPr>
        <w:spacing w:after="0" w:line="240" w:lineRule="auto"/>
        <w:rPr>
          <w:b/>
          <w:bCs/>
          <w:sz w:val="28"/>
          <w:szCs w:val="28"/>
        </w:rPr>
      </w:pPr>
    </w:p>
    <w:p w14:paraId="4800376C" w14:textId="77777777" w:rsidR="0074546E" w:rsidRDefault="0074546E" w:rsidP="005C20CA">
      <w:pPr>
        <w:spacing w:after="0" w:line="240" w:lineRule="auto"/>
        <w:rPr>
          <w:b/>
          <w:bCs/>
          <w:sz w:val="28"/>
          <w:szCs w:val="28"/>
        </w:rPr>
      </w:pPr>
    </w:p>
    <w:p w14:paraId="00757F06" w14:textId="77777777" w:rsidR="0074546E" w:rsidRDefault="0074546E" w:rsidP="005C20CA">
      <w:pPr>
        <w:spacing w:after="0" w:line="240" w:lineRule="auto"/>
        <w:rPr>
          <w:b/>
          <w:bCs/>
          <w:sz w:val="28"/>
          <w:szCs w:val="28"/>
        </w:rPr>
      </w:pPr>
    </w:p>
    <w:p w14:paraId="4E889972" w14:textId="77777777" w:rsidR="0074546E" w:rsidRDefault="0074546E" w:rsidP="005C20CA">
      <w:pPr>
        <w:spacing w:after="0" w:line="240" w:lineRule="auto"/>
        <w:rPr>
          <w:b/>
          <w:bCs/>
          <w:sz w:val="28"/>
          <w:szCs w:val="28"/>
        </w:rPr>
      </w:pPr>
    </w:p>
    <w:p w14:paraId="12B63FFB" w14:textId="77777777" w:rsidR="0074546E" w:rsidRDefault="0074546E" w:rsidP="005C20CA">
      <w:pPr>
        <w:spacing w:after="0" w:line="240" w:lineRule="auto"/>
        <w:rPr>
          <w:b/>
          <w:bCs/>
          <w:sz w:val="28"/>
          <w:szCs w:val="28"/>
        </w:rPr>
      </w:pPr>
    </w:p>
    <w:p w14:paraId="2C482BFF" w14:textId="697398B5" w:rsidR="00930DB1" w:rsidRDefault="00B036B3" w:rsidP="005C20CA">
      <w:pPr>
        <w:spacing w:after="0" w:line="240" w:lineRule="auto"/>
        <w:rPr>
          <w:b/>
          <w:bCs/>
          <w:sz w:val="28"/>
          <w:szCs w:val="28"/>
        </w:rPr>
      </w:pPr>
      <w:r w:rsidRPr="00B036B3">
        <w:rPr>
          <w:b/>
          <w:bCs/>
          <w:sz w:val="28"/>
          <w:szCs w:val="28"/>
        </w:rPr>
        <w:lastRenderedPageBreak/>
        <w:t>Didaktischer Kommentar, Erwartungshorizont:</w:t>
      </w:r>
    </w:p>
    <w:p w14:paraId="03C250CE" w14:textId="50A29D84" w:rsidR="005C20CA" w:rsidRDefault="005C20CA" w:rsidP="005C20CA">
      <w:pPr>
        <w:spacing w:after="0" w:line="240" w:lineRule="auto"/>
        <w:rPr>
          <w:b/>
          <w:bCs/>
          <w:sz w:val="28"/>
          <w:szCs w:val="28"/>
        </w:rPr>
      </w:pPr>
    </w:p>
    <w:p w14:paraId="5A2FBF25" w14:textId="665CBB30" w:rsidR="005C20CA" w:rsidRDefault="005C20CA" w:rsidP="005C20CA">
      <w:pPr>
        <w:spacing w:after="0" w:line="240" w:lineRule="auto"/>
      </w:pPr>
      <w:r w:rsidRPr="005C20CA">
        <w:t>Fabeln</w:t>
      </w:r>
      <w:r>
        <w:t xml:space="preserve"> sind den Schülerinnen und Schülern zumindest schon aus der Grundschule und der Unterstufe bekannt</w:t>
      </w:r>
      <w:r w:rsidR="008914F4">
        <w:t>,</w:t>
      </w:r>
      <w:r>
        <w:t xml:space="preserve"> die Texte sind kurz und leicht zugänglich, so dass die Hürde, sich Texten mit neuen, abstrakteren Fragestellungen zu nähern, nicht allzu hoch sein dürfte.</w:t>
      </w:r>
    </w:p>
    <w:p w14:paraId="2B607887" w14:textId="77777777" w:rsidR="005C20CA" w:rsidRDefault="005C20CA" w:rsidP="005C20CA">
      <w:pPr>
        <w:spacing w:after="0" w:line="240" w:lineRule="auto"/>
      </w:pPr>
    </w:p>
    <w:p w14:paraId="7AEABD8E" w14:textId="45C0391D" w:rsidR="008914F4" w:rsidRDefault="008914F4" w:rsidP="005C20CA">
      <w:pPr>
        <w:spacing w:after="0" w:line="240" w:lineRule="auto"/>
      </w:pPr>
      <w:r>
        <w:t>Motivgleiche Fabeln ermöglichen es den Schülerinnen und Schülern, zu erkennen, dass Stoffe tradiert werden, dass spätere Texte die Kenntnis des Ursprungstextes voraussetzen bzw. dass sie mit diesen Vorkenntnissen mit größerem Genuss gelesen werden können, weil ein Großteil des Genusses im Erkennen der Abweichungen vom „Original“ besteht und dem Nachspüren, welche Veränderung jeweils vorliegt und welche Auswirkungen diese auf den Text hat.</w:t>
      </w:r>
    </w:p>
    <w:p w14:paraId="7A5BFA2E" w14:textId="35999F16" w:rsidR="008914F4" w:rsidRDefault="008914F4" w:rsidP="005C20CA">
      <w:pPr>
        <w:spacing w:after="0" w:line="240" w:lineRule="auto"/>
      </w:pPr>
    </w:p>
    <w:p w14:paraId="449A63B3" w14:textId="0E4BBB9C" w:rsidR="00741F85" w:rsidRDefault="008914F4" w:rsidP="005C20CA">
      <w:pPr>
        <w:spacing w:after="0" w:line="240" w:lineRule="auto"/>
      </w:pPr>
      <w:r>
        <w:t xml:space="preserve">Über den Vergleich mehrerer Fassungen werden formale und inhaltliche Aspekte benennbar (Prosa oder Vers, mit oder ohne Moral, </w:t>
      </w:r>
      <w:r w:rsidR="001B3A67">
        <w:t>an welcher Stelle im Text (</w:t>
      </w:r>
      <w:proofErr w:type="spellStart"/>
      <w:r>
        <w:t>Promythion</w:t>
      </w:r>
      <w:proofErr w:type="spellEnd"/>
      <w:r>
        <w:t xml:space="preserve"> oder </w:t>
      </w:r>
      <w:proofErr w:type="spellStart"/>
      <w:r>
        <w:t>Epimythion</w:t>
      </w:r>
      <w:proofErr w:type="spellEnd"/>
      <w:r w:rsidR="001B3A67">
        <w:t xml:space="preserve">), einfache Struktur (Ausgangssituation, Actio, </w:t>
      </w:r>
      <w:proofErr w:type="spellStart"/>
      <w:r w:rsidR="001B3A67">
        <w:t>Reactio</w:t>
      </w:r>
      <w:proofErr w:type="spellEnd"/>
      <w:r w:rsidR="001B3A67">
        <w:t>, Schlusssituation) oder erweiterte Handlung durch mehrere Actio-</w:t>
      </w:r>
      <w:proofErr w:type="spellStart"/>
      <w:r w:rsidR="001B3A67">
        <w:t>Reactio</w:t>
      </w:r>
      <w:proofErr w:type="spellEnd"/>
      <w:r w:rsidR="001B3A67">
        <w:t>-Stufen, Gestaltung des Anfangs (</w:t>
      </w:r>
      <w:proofErr w:type="spellStart"/>
      <w:r w:rsidR="001B3A67">
        <w:t>medias</w:t>
      </w:r>
      <w:proofErr w:type="spellEnd"/>
      <w:r w:rsidR="001B3A67">
        <w:t xml:space="preserve"> in </w:t>
      </w:r>
      <w:proofErr w:type="spellStart"/>
      <w:r w:rsidR="001B3A67">
        <w:t>res</w:t>
      </w:r>
      <w:proofErr w:type="spellEnd"/>
      <w:r w:rsidR="001B3A67">
        <w:t>, Beschreibung), Zeit und Ort (beginnt die Fabel im Sommer oder im Winter? Welche Folgen hat das für den Text?), Perspektive (Wird aus der Sicht der Grille oder der der Ameise erzählt?), Figurencharakterisierung (Diminutive, Wertungen, Verhalten der Figuren, z.B. ob die Grille die Nahrung schenken oder leihen soll</w:t>
      </w:r>
      <w:r w:rsidR="00741F85">
        <w:t xml:space="preserve"> oder die immer kleinlauteren und verkürzten</w:t>
      </w:r>
      <w:r w:rsidR="001B3A67">
        <w:t xml:space="preserve"> Fragen </w:t>
      </w:r>
      <w:r w:rsidR="00741F85">
        <w:t xml:space="preserve">der Grille </w:t>
      </w:r>
      <w:r w:rsidR="001B3A67">
        <w:t>bei Janosch</w:t>
      </w:r>
      <w:r w:rsidR="00741F85">
        <w:t>)</w:t>
      </w:r>
      <w:r w:rsidR="001B3A67">
        <w:t>, Wiederholungen, Intertextualität im engen Sinne durch explizite Bezugnahme auf Vorgängertexte</w:t>
      </w:r>
      <w:r w:rsidR="00741F85">
        <w:t xml:space="preserve">. </w:t>
      </w:r>
      <w:r w:rsidR="00741F85">
        <w:br/>
        <w:t xml:space="preserve">Jeder Einzelfaktor ist bedeutsam für die Wirkung des Textes und damit dessen Deutung (Wie wird Fleiß, wie wird Kunst bewertet? Welche Normen werden direkt oder indirekt formuliert? Wie hängen Intention und Entstehungszeit zusammen? </w:t>
      </w:r>
      <w:proofErr w:type="gramStart"/>
      <w:r w:rsidR="00741F85">
        <w:t>…</w:t>
      </w:r>
      <w:proofErr w:type="gramEnd"/>
      <w:r w:rsidR="00741F85">
        <w:t>)</w:t>
      </w:r>
    </w:p>
    <w:p w14:paraId="13E6B0DF" w14:textId="77777777" w:rsidR="00741F85" w:rsidRDefault="00741F85" w:rsidP="005C20CA">
      <w:pPr>
        <w:spacing w:after="0" w:line="240" w:lineRule="auto"/>
      </w:pPr>
    </w:p>
    <w:p w14:paraId="0981B104" w14:textId="3252A815" w:rsidR="005C20CA" w:rsidRDefault="00741F85" w:rsidP="005C20CA">
      <w:pPr>
        <w:spacing w:after="0" w:line="240" w:lineRule="auto"/>
      </w:pPr>
      <w:r>
        <w:t>Auf diese Weise lassen sich schnell ein differenziertes Problembewusstsein, das an Vorwissen anknüpfen kann (historische und kulturelle Bedingtheit von Texten, Textmerkmale und deren Funktion, Stilmittel und deren Funktion), erste Schritte zur Erarbeitung der notwendigen Begrifflichkeit, mit der weitergearbeitet werden kann, und eine gute Portion Zutrauen, den Fragestellungen des Kurses gewachsen zu sein, vermitteln.</w:t>
      </w:r>
    </w:p>
    <w:sectPr w:rsidR="005C20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5460D"/>
    <w:multiLevelType w:val="multilevel"/>
    <w:tmpl w:val="63BC9CF2"/>
    <w:lvl w:ilvl="0">
      <w:start w:val="1"/>
      <w:numFmt w:val="decimal"/>
      <w:lvlText w:val="%1."/>
      <w:lvlJc w:val="left"/>
      <w:pPr>
        <w:ind w:left="510" w:hanging="51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 w15:restartNumberingAfterBreak="0">
    <w:nsid w:val="2D415B04"/>
    <w:multiLevelType w:val="hybridMultilevel"/>
    <w:tmpl w:val="71C05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7F6643"/>
    <w:multiLevelType w:val="multilevel"/>
    <w:tmpl w:val="998C3106"/>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95"/>
    <w:rsid w:val="001A0789"/>
    <w:rsid w:val="001B3A67"/>
    <w:rsid w:val="0044520C"/>
    <w:rsid w:val="005C20CA"/>
    <w:rsid w:val="00741F85"/>
    <w:rsid w:val="0074546E"/>
    <w:rsid w:val="008914F4"/>
    <w:rsid w:val="00930DB1"/>
    <w:rsid w:val="00B036B3"/>
    <w:rsid w:val="00B5295E"/>
    <w:rsid w:val="00CB6395"/>
    <w:rsid w:val="00EA3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1185"/>
  <w15:chartTrackingRefBased/>
  <w15:docId w15:val="{9F7B3411-A54F-4169-AB01-781AA815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036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6395"/>
    <w:rPr>
      <w:color w:val="0563C1" w:themeColor="hyperlink"/>
      <w:u w:val="single"/>
    </w:rPr>
  </w:style>
  <w:style w:type="character" w:styleId="NichtaufgelsteErwhnung">
    <w:name w:val="Unresolved Mention"/>
    <w:basedOn w:val="Absatz-Standardschriftart"/>
    <w:uiPriority w:val="99"/>
    <w:semiHidden/>
    <w:unhideWhenUsed/>
    <w:rsid w:val="00CB6395"/>
    <w:rPr>
      <w:color w:val="605E5C"/>
      <w:shd w:val="clear" w:color="auto" w:fill="E1DFDD"/>
    </w:rPr>
  </w:style>
  <w:style w:type="paragraph" w:styleId="Listenabsatz">
    <w:name w:val="List Paragraph"/>
    <w:basedOn w:val="Standard"/>
    <w:uiPriority w:val="34"/>
    <w:qFormat/>
    <w:rsid w:val="00B036B3"/>
    <w:pPr>
      <w:ind w:left="720"/>
      <w:contextualSpacing/>
    </w:pPr>
  </w:style>
  <w:style w:type="character" w:customStyle="1" w:styleId="berschrift2Zchn">
    <w:name w:val="Überschrift 2 Zchn"/>
    <w:basedOn w:val="Absatz-Standardschriftart"/>
    <w:link w:val="berschrift2"/>
    <w:uiPriority w:val="9"/>
    <w:rsid w:val="00B036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manistik.uni-wuppertal.de/fileadmin/germanistik/Teilf&#228;cher/Didaktik/Personal/Nickel-Bacon/Und_sie_machten_sich_ein_ein_sch&#246;nes_warmes_Leben_zusammen.pdf" TargetMode="External"/><Relationship Id="rId3" Type="http://schemas.openxmlformats.org/officeDocument/2006/relationships/settings" Target="settings.xml"/><Relationship Id="rId7" Type="http://schemas.openxmlformats.org/officeDocument/2006/relationships/hyperlink" Target="https://germanistik.uni-wuppertal.de/fileadmin/germanistik/Teilf&#228;cher/Didaktik/Personal/Nickel-Bacon/Und_sie_machten_sich_ein_ein_sch&#246;nes_warmes_Leben_zusamm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jekt-gutenberg.org/fontaine/fabeln1/chap002.html" TargetMode="External"/><Relationship Id="rId5" Type="http://schemas.openxmlformats.org/officeDocument/2006/relationships/hyperlink" Target="https://www.projekt-gutenberg.org/aesop/fabeln1/chap03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Birgit</cp:lastModifiedBy>
  <cp:revision>2</cp:revision>
  <dcterms:created xsi:type="dcterms:W3CDTF">2020-09-14T13:03:00Z</dcterms:created>
  <dcterms:modified xsi:type="dcterms:W3CDTF">2020-09-14T13:03:00Z</dcterms:modified>
</cp:coreProperties>
</file>