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4"/>
          <w:szCs w:val="24"/>
          <w:lang w:val="es-ES"/>
        </w:rPr>
      </w:pPr>
      <w:r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-9525</wp:posOffset>
            </wp:positionH>
            <wp:positionV relativeFrom="paragraph">
              <wp:posOffset>9525</wp:posOffset>
            </wp:positionV>
            <wp:extent cx="2512695" cy="1800225"/>
            <wp:effectExtent l="0" t="0" r="0" b="0"/>
            <wp:wrapTight wrapText="bothSides">
              <wp:wrapPolygon edited="0">
                <wp:start x="-7" y="0"/>
                <wp:lineTo x="-7" y="21255"/>
                <wp:lineTo x="21447" y="21255"/>
                <wp:lineTo x="21447" y="0"/>
                <wp:lineTo x="-7" y="0"/>
              </wp:wrapPolygon>
            </wp:wrapTight>
            <wp:docPr id="1" name="Bild 3" descr="Electric Oaks on the Hill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3" descr="Electric Oaks on the Hillsid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M3_Vivir en la frontera</w:t>
      </w:r>
      <w:r>
        <w:rPr>
          <w:lang w:val="es-ES" w:eastAsia="de-DE"/>
        </w:rPr>
        <w:t xml:space="preserve"> </w:t>
      </w:r>
    </w:p>
    <w:p>
      <w:pPr>
        <w:pStyle w:val="Normal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Introducción:</w:t>
      </w:r>
    </w:p>
    <w:p>
      <w:pPr>
        <w:pStyle w:val="Normal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Teniendo en cuenta lo que has aprendido hasta ahora sobre la obra de Anzaldúa, explica lo que podría significar para ella el concepto “frontera”.</w:t>
      </w:r>
    </w:p>
    <w:p>
      <w:pPr>
        <w:pStyle w:val="ListParagrap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Imagen: </w:t>
      </w:r>
      <w:r>
        <w:rPr>
          <w:rFonts w:ascii="Gudea;Myriad Pro;Helvetica Neue;Helvetica;Arial;sans-serif" w:hAnsi="Gudea;Myriad Pro;Helvetica Neue;Helvetica;Arial;sans-serif"/>
          <w:b w:val="false"/>
          <w:i w:val="false"/>
          <w:caps w:val="false"/>
          <w:smallCaps w:val="false"/>
          <w:color w:val="505050"/>
          <w:spacing w:val="0"/>
          <w:sz w:val="18"/>
          <w:szCs w:val="18"/>
        </w:rPr>
        <w:t>Electric_Oaks_on_the_Hillside.jpg [</w:t>
      </w:r>
      <w:hyperlink r:id="rId3">
        <w:r>
          <w:rPr>
            <w:rStyle w:val="Internetverknpfung"/>
            <w:rFonts w:ascii="Gudea;Myriad Pro;Helvetica Neue;Helvetica;Arial;sans-serif" w:hAnsi="Gudea;Myriad Pro;Helvetica Neue;Helvetica;Arial;sans-serif"/>
            <w:b w:val="false"/>
            <w:i w:val="false"/>
            <w:caps w:val="false"/>
            <w:smallCaps w:val="false"/>
            <w:strike w:val="false"/>
            <w:dstrike w:val="false"/>
            <w:color w:val="84000D"/>
            <w:spacing w:val="0"/>
            <w:sz w:val="18"/>
            <w:szCs w:val="18"/>
            <w:u w:val="none"/>
            <w:effect w:val="none"/>
            <w:shd w:fill="FFFFFF" w:val="clear"/>
          </w:rPr>
          <w:t>CC BY-SA 4.0</w:t>
        </w:r>
      </w:hyperlink>
      <w:r>
        <w:rPr>
          <w:rFonts w:ascii="Gudea;Myriad Pro;Helvetica Neue;Helvetica;Arial;sans-serif" w:hAnsi="Gudea;Myriad Pro;Helvetica Neue;Helvetica;Arial;sans-serif"/>
          <w:b w:val="false"/>
          <w:i w:val="false"/>
          <w:caps w:val="false"/>
          <w:smallCaps w:val="false"/>
          <w:color w:val="505050"/>
          <w:spacing w:val="0"/>
          <w:sz w:val="18"/>
          <w:szCs w:val="18"/>
        </w:rPr>
        <w:t xml:space="preserve">], </w:t>
      </w:r>
      <w:r>
        <w:rPr>
          <w:rFonts w:ascii="Gudea;Myriad Pro;Helvetica Neue;Helvetica;Arial;sans-serif" w:hAnsi="Gudea;Myriad Pro;Helvetica Neue;Helvetica;Arial;sans-serif"/>
          <w:b w:val="false"/>
          <w:i w:val="false"/>
          <w:caps w:val="false"/>
          <w:smallCaps w:val="false"/>
          <w:color w:val="505050"/>
          <w:spacing w:val="0"/>
          <w:sz w:val="18"/>
          <w:szCs w:val="18"/>
        </w:rPr>
        <w:t xml:space="preserve">von von Linda Vallejo </w:t>
      </w:r>
      <w:r>
        <w:rPr>
          <w:rFonts w:ascii="Gudea;Myriad Pro;Helvetica Neue;Helvetica;Arial;sans-serif" w:hAnsi="Gudea;Myriad Pro;Helvetica Neue;Helvetica;Arial;sans-serif"/>
          <w:b w:val="false"/>
          <w:i w:val="false"/>
          <w:caps w:val="false"/>
          <w:smallCaps w:val="false"/>
          <w:color w:val="505050"/>
          <w:spacing w:val="0"/>
          <w:sz w:val="18"/>
          <w:szCs w:val="18"/>
        </w:rPr>
        <w:t xml:space="preserve">via </w:t>
      </w:r>
      <w:hyperlink r:id="rId4" w:tgtFrame="_blank">
        <w:r>
          <w:rPr>
            <w:rStyle w:val="Internetverknpfung"/>
            <w:rFonts w:ascii="Gudea;Myriad Pro;Helvetica Neue;Helvetica;Arial;sans-serif" w:hAnsi="Gudea;Myriad Pro;Helvetica Neue;Helvetica;Arial;sans-serif"/>
            <w:b w:val="false"/>
            <w:i w:val="false"/>
            <w:caps w:val="false"/>
            <w:smallCaps w:val="false"/>
            <w:strike w:val="false"/>
            <w:dstrike w:val="false"/>
            <w:color w:val="84000D"/>
            <w:spacing w:val="0"/>
            <w:sz w:val="18"/>
            <w:szCs w:val="18"/>
            <w:u w:val="none"/>
            <w:effect w:val="none"/>
            <w:shd w:fill="FFFFFF" w:val="clear"/>
          </w:rPr>
          <w:t>Wikimedia Commons</w:t>
        </w:r>
      </w:hyperlink>
    </w:p>
    <w:p>
      <w:pPr>
        <w:pStyle w:val="Normal"/>
        <w:rPr>
          <w:sz w:val="18"/>
          <w:szCs w:val="18"/>
        </w:rPr>
      </w:pPr>
      <w:r>
        <w:rPr/>
      </w:r>
    </w:p>
    <w:p>
      <w:pPr>
        <w:pStyle w:val="Normal"/>
        <w:rPr>
          <w:sz w:val="18"/>
          <w:szCs w:val="18"/>
        </w:rPr>
      </w:pPr>
      <w:r>
        <w:rPr/>
      </w:r>
    </w:p>
    <w:p>
      <w:pPr>
        <w:pStyle w:val="Normal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Uno de los textos más famosos de Anzaldúa es el poema </w:t>
      </w:r>
      <w:r>
        <w:rPr>
          <w:i/>
          <w:sz w:val="24"/>
          <w:szCs w:val="24"/>
          <w:lang w:val="es-ES"/>
        </w:rPr>
        <w:t>To live in the borderlands means you…,</w:t>
      </w:r>
      <w:r>
        <w:rPr>
          <w:sz w:val="24"/>
          <w:szCs w:val="24"/>
          <w:lang w:val="es-ES"/>
        </w:rPr>
        <w:t xml:space="preserve"> que también pertenece a esta obra:</w:t>
      </w:r>
    </w:p>
    <w:tbl>
      <w:tblPr>
        <w:tblW w:w="9281" w:type="dxa"/>
        <w:jc w:val="left"/>
        <w:tblInd w:w="-147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 w:noHBand="0" w:noVBand="0" w:firstColumn="0" w:lastRow="0" w:lastColumn="0" w:firstRow="0"/>
      </w:tblPr>
      <w:tblGrid>
        <w:gridCol w:w="9281"/>
      </w:tblGrid>
      <w:tr>
        <w:trPr>
          <w:trHeight w:val="2930" w:hRule="atLeast"/>
        </w:trPr>
        <w:tc>
          <w:tcPr>
            <w:tcW w:w="9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lang w:val="es-ES"/>
              </w:rPr>
            </w:pPr>
            <w:r>
              <w:rPr>
                <w:lang w:val="es-ES"/>
              </w:rPr>
              <w:t xml:space="preserve">El poema tratado se encuentra en la obra Gloria Anzaldúa, </w:t>
            </w:r>
            <w:r>
              <w:rPr>
                <w:i/>
                <w:lang w:val="es-ES"/>
              </w:rPr>
              <w:t>Borderlands. La frontera</w:t>
            </w:r>
            <w:r>
              <w:rPr>
                <w:lang w:val="es-ES"/>
              </w:rPr>
              <w:t>. Aunt Lute Books, San Francisco, 2012, pp. 216-217 y consta de 8 estrofas.</w:t>
            </w:r>
          </w:p>
          <w:p>
            <w:pPr>
              <w:pStyle w:val="Normal"/>
              <w:widowControl w:val="false"/>
              <w:rPr>
                <w:lang w:val="es-ES"/>
              </w:rPr>
            </w:pPr>
            <w:r>
              <w:rPr>
                <w:lang w:val="es-ES"/>
              </w:rPr>
              <w:t>Como alternativa, el poema se puede encontrar en internet, por ejemplo en el enlace</w:t>
            </w:r>
          </w:p>
          <w:p>
            <w:pPr>
              <w:pStyle w:val="Normal"/>
              <w:widowControl w:val="false"/>
              <w:rPr>
                <w:lang w:val="es-ES"/>
              </w:rPr>
            </w:pPr>
            <w:r>
              <w:rPr>
                <w:lang w:val="es-ES"/>
              </w:rPr>
              <w:t>http://www.revistascisan.unam.mx/Voices/pdfs/7422.pdf</w:t>
            </w:r>
          </w:p>
          <w:p>
            <w:pPr>
              <w:pStyle w:val="Normal"/>
              <w:widowControl w:val="false"/>
              <w:spacing w:before="0" w:after="160"/>
              <w:contextualSpacing/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Vocabulario de apoyo para la comprensión</w:t>
            </w:r>
          </w:p>
          <w:p>
            <w:pPr>
              <w:pStyle w:val="Normal"/>
              <w:widowControl w:val="false"/>
              <w:spacing w:before="0" w:after="160"/>
              <w:contextualSpacing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  <w:p>
            <w:pPr>
              <w:pStyle w:val="Normal"/>
              <w:widowControl w:val="false"/>
              <w:spacing w:before="0" w:after="160"/>
              <w:contextualSpacing/>
              <w:rPr>
                <w:lang w:val="es-ES"/>
              </w:rPr>
            </w:pPr>
            <w:r>
              <w:rPr>
                <w:i/>
                <w:u w:val="single"/>
                <w:lang w:val="es-ES"/>
              </w:rPr>
              <w:t>gabacha</w:t>
            </w:r>
            <w:r>
              <w:rPr>
                <w:lang w:val="es-ES"/>
              </w:rPr>
              <w:tab/>
              <w:t xml:space="preserve">              </w:t>
            </w:r>
            <w:r>
              <w:rPr>
                <w:sz w:val="21"/>
                <w:szCs w:val="21"/>
                <w:lang w:val="es-ES"/>
              </w:rPr>
              <w:t>término que los chicanos usan para una mujer blanca</w:t>
            </w:r>
          </w:p>
          <w:p>
            <w:pPr>
              <w:pStyle w:val="Normal"/>
              <w:widowControl w:val="false"/>
              <w:spacing w:before="0" w:after="160"/>
              <w:contextualSpacing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Normal"/>
              <w:widowControl w:val="false"/>
              <w:spacing w:before="0" w:after="160"/>
              <w:contextualSpacing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  <w:p>
            <w:pPr>
              <w:pStyle w:val="Normal"/>
              <w:widowControl w:val="false"/>
              <w:spacing w:before="0" w:after="160"/>
              <w:contextualSpacing/>
              <w:rPr>
                <w:lang w:val="es-ES"/>
              </w:rPr>
            </w:pPr>
            <w:r>
              <w:rPr>
                <w:i/>
                <w:u w:val="single"/>
                <w:lang w:val="es-ES"/>
              </w:rPr>
              <w:t>rajetas</w:t>
            </w:r>
            <w:r>
              <w:rPr>
                <w:lang w:val="es-ES"/>
              </w:rPr>
              <w:t xml:space="preserve"> </w:t>
              <w:tab/>
              <w:tab/>
            </w:r>
            <w:r>
              <w:rPr>
                <w:sz w:val="21"/>
                <w:szCs w:val="21"/>
                <w:lang w:val="es-ES"/>
              </w:rPr>
              <w:t>rajada, alguien que falta a su palabra</w:t>
            </w:r>
          </w:p>
          <w:p>
            <w:pPr>
              <w:pStyle w:val="Normal"/>
              <w:widowControl w:val="false"/>
              <w:spacing w:before="0" w:after="160"/>
              <w:ind w:left="708" w:hanging="0"/>
              <w:contextualSpacing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Normal"/>
              <w:widowControl w:val="false"/>
              <w:spacing w:before="0" w:after="160"/>
              <w:contextualSpacing/>
              <w:rPr/>
            </w:pPr>
            <w:r>
              <w:rPr/>
              <w:t>3</w:t>
            </w:r>
          </w:p>
          <w:p>
            <w:pPr>
              <w:pStyle w:val="Normal"/>
              <w:widowControl w:val="false"/>
              <w:spacing w:before="0" w:after="160"/>
              <w:contextualSpacing/>
              <w:rPr/>
            </w:pPr>
            <w:r>
              <w:rPr>
                <w:i/>
                <w:u w:val="single"/>
              </w:rPr>
              <w:t>burra</w:t>
            </w:r>
            <w:r>
              <w:rPr/>
              <w:t xml:space="preserve">, </w:t>
            </w:r>
            <w:r>
              <w:rPr>
                <w:i/>
                <w:u w:val="single"/>
              </w:rPr>
              <w:t>buey</w:t>
            </w:r>
            <w:r>
              <w:rPr/>
              <w:t xml:space="preserve">, </w:t>
            </w:r>
            <w:r>
              <w:rPr>
                <w:u w:val="single"/>
              </w:rPr>
              <w:t>scapegoat</w:t>
            </w:r>
            <w:r>
              <w:rPr/>
              <w:t xml:space="preserve">, </w:t>
              <w:tab/>
              <w:tab/>
            </w:r>
            <w:r>
              <w:rPr>
                <w:sz w:val="21"/>
                <w:szCs w:val="21"/>
              </w:rPr>
              <w:t>Esel</w:t>
              <w:tab/>
              <w:t>Ochse</w:t>
              <w:tab/>
              <w:t>Sündenbock</w:t>
            </w:r>
          </w:p>
          <w:p>
            <w:pPr>
              <w:pStyle w:val="Normal"/>
              <w:widowControl w:val="false"/>
              <w:spacing w:before="0" w:after="160"/>
              <w:ind w:left="708" w:hanging="0"/>
              <w:contextualSpacing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contextualSpacing/>
              <w:rPr/>
            </w:pPr>
            <w:r>
              <w:rPr/>
              <w:t>4</w:t>
            </w:r>
          </w:p>
          <w:p>
            <w:pPr>
              <w:pStyle w:val="Normal"/>
              <w:widowControl w:val="false"/>
              <w:spacing w:before="0" w:after="160"/>
              <w:contextualSpacing/>
              <w:rPr>
                <w:sz w:val="21"/>
                <w:szCs w:val="21"/>
              </w:rPr>
            </w:pPr>
            <w:r>
              <w:rPr>
                <w:u w:val="single"/>
              </w:rPr>
              <w:t>borscht</w:t>
            </w:r>
            <w:r>
              <w:rPr/>
              <w:t xml:space="preserve"> </w:t>
              <w:tab/>
              <w:tab/>
              <w:tab/>
              <w:t xml:space="preserve"> </w:t>
            </w:r>
            <w:r>
              <w:rPr>
                <w:sz w:val="21"/>
                <w:szCs w:val="21"/>
              </w:rPr>
              <w:t>Borschtsch, slawische Suppe mit roter Beete</w:t>
            </w:r>
          </w:p>
          <w:p>
            <w:pPr>
              <w:pStyle w:val="Normal"/>
              <w:widowControl w:val="false"/>
              <w:spacing w:before="0" w:after="160"/>
              <w:contextualSpacing/>
              <w:rPr>
                <w:sz w:val="21"/>
                <w:szCs w:val="21"/>
                <w:lang w:val="es-ES"/>
              </w:rPr>
            </w:pPr>
            <w:r>
              <w:rPr>
                <w:i/>
                <w:u w:val="single"/>
                <w:lang w:val="es-ES"/>
              </w:rPr>
              <w:t>la migra</w:t>
            </w:r>
            <w:r>
              <w:rPr>
                <w:lang w:val="es-ES"/>
              </w:rPr>
              <w:t xml:space="preserve">     </w:t>
              <w:tab/>
              <w:t xml:space="preserve">                              </w:t>
            </w:r>
            <w:r>
              <w:rPr>
                <w:sz w:val="21"/>
                <w:szCs w:val="21"/>
                <w:lang w:val="es-ES"/>
              </w:rPr>
              <w:t>U.S. Grenzpolizei</w:t>
            </w:r>
          </w:p>
          <w:p>
            <w:pPr>
              <w:pStyle w:val="Normal"/>
              <w:widowControl w:val="false"/>
              <w:spacing w:before="0" w:after="160"/>
              <w:contextualSpacing/>
              <w:rPr>
                <w:lang w:val="es-ES"/>
              </w:rPr>
            </w:pPr>
            <w:r>
              <w:rPr>
                <w:lang w:val="es-ES"/>
              </w:rPr>
            </w:r>
          </w:p>
          <w:p>
            <w:pPr>
              <w:pStyle w:val="Normal"/>
              <w:widowControl w:val="false"/>
              <w:spacing w:before="0" w:after="160"/>
              <w:contextualSpacing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  <w:p>
            <w:pPr>
              <w:pStyle w:val="Normal"/>
              <w:widowControl w:val="false"/>
              <w:spacing w:before="0" w:after="160"/>
              <w:contextualSpacing/>
              <w:rPr/>
            </w:pPr>
            <w:r>
              <w:rPr>
                <w:u w:val="single"/>
              </w:rPr>
              <w:t>beckoning</w:t>
            </w:r>
            <w:r>
              <w:rPr/>
              <w:t xml:space="preserve"> </w:t>
              <w:tab/>
              <w:t>locken</w:t>
            </w:r>
          </w:p>
          <w:p>
            <w:pPr>
              <w:pStyle w:val="Normal"/>
              <w:widowControl w:val="false"/>
              <w:spacing w:before="0" w:after="160"/>
              <w:contextualSpacing/>
              <w:rPr/>
            </w:pPr>
            <w:r>
              <w:rPr>
                <w:u w:val="single"/>
              </w:rPr>
              <w:t>gun barrel</w:t>
            </w:r>
            <w:r>
              <w:rPr/>
              <w:t xml:space="preserve"> </w:t>
              <w:tab/>
              <w:t>Gewehrlauf</w:t>
            </w:r>
          </w:p>
          <w:p>
            <w:pPr>
              <w:pStyle w:val="Normal"/>
              <w:widowControl w:val="false"/>
              <w:spacing w:before="0" w:after="160"/>
              <w:contextualSpacing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contextualSpacing/>
              <w:rPr/>
            </w:pPr>
            <w:r>
              <w:rPr/>
              <w:t>6</w:t>
            </w:r>
          </w:p>
          <w:p>
            <w:pPr>
              <w:pStyle w:val="Normal"/>
              <w:widowControl w:val="false"/>
              <w:spacing w:before="0" w:after="160"/>
              <w:contextualSpacing/>
              <w:rPr>
                <w:lang w:val="en-US"/>
              </w:rPr>
            </w:pPr>
            <w:r>
              <w:rPr>
                <w:u w:val="single"/>
                <w:lang w:val="en-US"/>
              </w:rPr>
              <w:t>volley of shots</w:t>
            </w:r>
            <w:r>
              <w:rPr>
                <w:lang w:val="en-US"/>
              </w:rPr>
              <w:t xml:space="preserve"> have shattered the truce </w:t>
              <w:tab/>
              <w:tab/>
              <w:t>Gewehrsalve</w:t>
            </w:r>
          </w:p>
          <w:p>
            <w:pPr>
              <w:pStyle w:val="Normal"/>
              <w:widowControl w:val="false"/>
              <w:spacing w:before="0" w:after="160"/>
              <w:contextualSpacing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widowControl w:val="false"/>
              <w:spacing w:before="0" w:after="160"/>
              <w:contextualSpacing/>
              <w:rPr/>
            </w:pPr>
            <w:r>
              <w:rPr/>
              <w:t>7</w:t>
            </w:r>
          </w:p>
          <w:p>
            <w:pPr>
              <w:pStyle w:val="Normal"/>
              <w:widowControl w:val="false"/>
              <w:spacing w:before="0" w:after="160"/>
              <w:contextualSpacing/>
              <w:rPr/>
            </w:pPr>
            <w:r>
              <w:rPr>
                <w:u w:val="single"/>
              </w:rPr>
              <w:t>kernel</w:t>
            </w:r>
            <w:r>
              <w:rPr/>
              <w:tab/>
              <w:tab/>
              <w:t xml:space="preserve">                             </w:t>
            </w:r>
            <w:r>
              <w:rPr>
                <w:sz w:val="21"/>
                <w:szCs w:val="21"/>
              </w:rPr>
              <w:t>Kern</w:t>
            </w:r>
          </w:p>
          <w:p>
            <w:pPr>
              <w:pStyle w:val="Normal"/>
              <w:widowControl w:val="false"/>
              <w:spacing w:before="0" w:after="160"/>
              <w:contextualSpacing/>
              <w:rPr>
                <w:sz w:val="21"/>
                <w:szCs w:val="21"/>
              </w:rPr>
            </w:pPr>
            <w:r>
              <w:rPr>
                <w:u w:val="single"/>
              </w:rPr>
              <w:t>pound</w:t>
            </w:r>
            <w:r>
              <w:rPr/>
              <w:t xml:space="preserve">, </w:t>
            </w:r>
            <w:r>
              <w:rPr>
                <w:u w:val="single"/>
              </w:rPr>
              <w:t>pinch</w:t>
            </w:r>
            <w:r>
              <w:rPr/>
              <w:t xml:space="preserve">,  </w:t>
            </w:r>
            <w:r>
              <w:rPr>
                <w:u w:val="single"/>
              </w:rPr>
              <w:t>roll</w:t>
            </w:r>
            <w:r>
              <w:rPr/>
              <w:t xml:space="preserve"> </w:t>
            </w:r>
            <w:r>
              <w:rPr>
                <w:u w:val="single"/>
              </w:rPr>
              <w:t>out</w:t>
            </w:r>
            <w:r>
              <w:rPr/>
              <w:t xml:space="preserve"> </w:t>
              <w:tab/>
              <w:tab/>
            </w:r>
            <w:r>
              <w:rPr>
                <w:sz w:val="21"/>
                <w:szCs w:val="21"/>
              </w:rPr>
              <w:t>zerstampfen</w:t>
              <w:tab/>
              <w:t>quetschen</w:t>
              <w:tab/>
              <w:t>etwas glätten</w:t>
            </w:r>
          </w:p>
          <w:p>
            <w:pPr>
              <w:pStyle w:val="Normal"/>
              <w:widowControl w:val="false"/>
              <w:spacing w:before="0" w:after="160"/>
              <w:contextualSpacing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160"/>
              <w:contextualSpacing/>
              <w:rPr>
                <w:lang w:val="es-ES"/>
              </w:rPr>
            </w:pPr>
            <w:r>
              <w:rPr>
                <w:lang w:val="es-ES"/>
              </w:rPr>
              <w:t>8  ----------</w:t>
            </w:r>
          </w:p>
          <w:p>
            <w:pPr>
              <w:pStyle w:val="Normal"/>
              <w:widowControl w:val="false"/>
              <w:spacing w:before="0" w:after="16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before="0" w:after="160"/>
        <w:contextualSpacing/>
        <w:rPr>
          <w:lang w:val="es-ES"/>
        </w:rPr>
      </w:pPr>
      <w:r>
        <w:rPr>
          <w:lang w:val="es-ES"/>
        </w:rPr>
        <w:t>Tareas:</w:t>
      </w:r>
    </w:p>
    <w:p>
      <w:pPr>
        <w:pStyle w:val="Normal"/>
        <w:spacing w:before="0" w:after="160"/>
        <w:contextualSpacing/>
        <w:rPr>
          <w:lang w:val="es-ES"/>
        </w:rPr>
      </w:pPr>
      <w:r>
        <w:rPr>
          <w:lang w:val="es-ES"/>
        </w:rPr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s-ES"/>
        </w:rPr>
        <w:t xml:space="preserve">Lee el poema. Relaciona cada una de las estrofas con los siguientes términos. Un mismo término puede referirse a más de una estrofa. </w:t>
      </w:r>
      <w:r>
        <w:rPr>
          <w:lang w:val="en-US"/>
        </w:rPr>
        <w:t>Justifica tu respuesta.</w:t>
      </w:r>
    </w:p>
    <w:p>
      <w:pPr>
        <w:pStyle w:val="Normal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125730</wp:posOffset>
                </wp:positionH>
                <wp:positionV relativeFrom="paragraph">
                  <wp:posOffset>113665</wp:posOffset>
                </wp:positionV>
                <wp:extent cx="1392555" cy="629285"/>
                <wp:effectExtent l="0" t="0" r="18415" b="19685"/>
                <wp:wrapNone/>
                <wp:docPr id="2" name="Oval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760" cy="6285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El día a día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1" fillcolor="#ffe699" stroked="t" style="position:absolute;margin-left:9.9pt;margin-top:8.95pt;width:109.55pt;height:49.45pt;mso-wrap-style:square;v-text-anchor:middle">
                <v:fill o:detectmouseclick="t" type="solid" color2="#001966"/>
                <v:stroke color="#70ad47" weight="12600" joinstyle="miter" endcap="flat"/>
                <v:textbox>
                  <w:txbxContent>
                    <w:p>
                      <w:pPr>
                        <w:pStyle w:val="Rahmeninhalt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El día a día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79B96BAC">
                <wp:simplePos x="0" y="0"/>
                <wp:positionH relativeFrom="column">
                  <wp:posOffset>2456180</wp:posOffset>
                </wp:positionH>
                <wp:positionV relativeFrom="paragraph">
                  <wp:posOffset>51435</wp:posOffset>
                </wp:positionV>
                <wp:extent cx="1392555" cy="629285"/>
                <wp:effectExtent l="0" t="0" r="18415" b="19685"/>
                <wp:wrapNone/>
                <wp:docPr id="4" name="Oval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760" cy="6285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Las amenazas externas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4" fillcolor="#ffe699" stroked="t" style="position:absolute;margin-left:193.4pt;margin-top:4.05pt;width:109.55pt;height:49.45pt;mso-wrap-style:square;v-text-anchor:middle" wp14:anchorId="79B96BAC">
                <v:fill o:detectmouseclick="t" type="solid" color2="#001966"/>
                <v:stroke color="#70ad47" weight="12600" joinstyle="miter" endcap="flat"/>
                <v:textbox>
                  <w:txbxContent>
                    <w:p>
                      <w:pPr>
                        <w:pStyle w:val="Rahmeninhalt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Las amenazas externas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79B96BAC">
                <wp:simplePos x="0" y="0"/>
                <wp:positionH relativeFrom="column">
                  <wp:posOffset>4460240</wp:posOffset>
                </wp:positionH>
                <wp:positionV relativeFrom="paragraph">
                  <wp:posOffset>114300</wp:posOffset>
                </wp:positionV>
                <wp:extent cx="1392555" cy="629285"/>
                <wp:effectExtent l="0" t="0" r="18415" b="19685"/>
                <wp:wrapNone/>
                <wp:docPr id="6" name="Oval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760" cy="6285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La estrategia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6" fillcolor="#ffe699" stroked="t" style="position:absolute;margin-left:351.2pt;margin-top:9pt;width:109.55pt;height:49.45pt;mso-wrap-style:square;v-text-anchor:middle" wp14:anchorId="79B96BAC">
                <v:fill o:detectmouseclick="t" type="solid" color2="#001966"/>
                <v:stroke color="#70ad47" weight="12600" joinstyle="miter" endcap="flat"/>
                <v:textbox>
                  <w:txbxContent>
                    <w:p>
                      <w:pPr>
                        <w:pStyle w:val="Rahmeninhalt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La estrategia</w:t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</w:p>
    <w:p>
      <w:pPr>
        <w:pStyle w:val="Normal"/>
        <w:tabs>
          <w:tab w:val="clear" w:pos="708"/>
          <w:tab w:val="left" w:pos="3982" w:leader="none"/>
        </w:tabs>
        <w:rPr>
          <w:lang w:val="en-US"/>
        </w:rPr>
      </w:pPr>
      <w:r>
        <w:rPr>
          <w:lang w:val="en-US"/>
        </w:rPr>
        <w:tab/>
      </w:r>
    </w:p>
    <w:p>
      <w:pPr>
        <w:pStyle w:val="Normal"/>
        <w:rPr>
          <w:lang w:val="en-US"/>
        </w:rPr>
      </w:pPr>
      <w:r>
        <w:rPr>
          <w:lang w:val="en-US"/>
        </w:rPr>
        <mc:AlternateContent>
          <mc:Choice Requires="wps">
            <w:drawing>
              <wp:anchor behindDoc="0" distT="0" distB="0" distL="0" distR="0" simplePos="0" locked="0" layoutInCell="0" allowOverlap="1" relativeHeight="3" wp14:anchorId="79B96BAC">
                <wp:simplePos x="0" y="0"/>
                <wp:positionH relativeFrom="column">
                  <wp:posOffset>215265</wp:posOffset>
                </wp:positionH>
                <wp:positionV relativeFrom="paragraph">
                  <wp:posOffset>691515</wp:posOffset>
                </wp:positionV>
                <wp:extent cx="1392555" cy="629285"/>
                <wp:effectExtent l="0" t="0" r="18415" b="19685"/>
                <wp:wrapNone/>
                <wp:docPr id="8" name="Oval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760" cy="6285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Identidades en conflicto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2" fillcolor="#ffe699" stroked="t" style="position:absolute;margin-left:16.95pt;margin-top:54.45pt;width:109.55pt;height:49.45pt;mso-wrap-style:square;v-text-anchor:middle" wp14:anchorId="79B96BAC">
                <v:fill o:detectmouseclick="t" type="solid" color2="#001966"/>
                <v:stroke color="#70ad47" weight="12600" joinstyle="miter" endcap="flat"/>
                <v:textbox>
                  <w:txbxContent>
                    <w:p>
                      <w:pPr>
                        <w:pStyle w:val="Rahmeninhalt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Identidades en conflicto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79B96BAC">
                <wp:simplePos x="0" y="0"/>
                <wp:positionH relativeFrom="column">
                  <wp:posOffset>2494915</wp:posOffset>
                </wp:positionH>
                <wp:positionV relativeFrom="paragraph">
                  <wp:posOffset>559435</wp:posOffset>
                </wp:positionV>
                <wp:extent cx="1631315" cy="1002665"/>
                <wp:effectExtent l="0" t="0" r="27940" b="27940"/>
                <wp:wrapNone/>
                <wp:docPr id="10" name="Oval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00" cy="10018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Los peligros de la aculturación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3" fillcolor="#ffe699" stroked="t" style="position:absolute;margin-left:196.45pt;margin-top:44.05pt;width:128.35pt;height:78.85pt;mso-wrap-style:square;v-text-anchor:middle" wp14:anchorId="79B96BAC">
                <v:fill o:detectmouseclick="t" type="solid" color2="#001966"/>
                <v:stroke color="#70ad47" weight="12600" joinstyle="miter" endcap="flat"/>
                <v:textbox>
                  <w:txbxContent>
                    <w:p>
                      <w:pPr>
                        <w:pStyle w:val="Rahmeninhalt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Los peligros de la aculturación</w:t>
                      </w:r>
                    </w:p>
                  </w:txbxContent>
                </v:textbox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79B96BAC">
                <wp:simplePos x="0" y="0"/>
                <wp:positionH relativeFrom="column">
                  <wp:posOffset>4666615</wp:posOffset>
                </wp:positionH>
                <wp:positionV relativeFrom="paragraph">
                  <wp:posOffset>560070</wp:posOffset>
                </wp:positionV>
                <wp:extent cx="1392555" cy="629285"/>
                <wp:effectExtent l="0" t="0" r="18415" b="19685"/>
                <wp:wrapNone/>
                <wp:docPr id="12" name="Oval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760" cy="62856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70ad47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La lucha interna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 5" fillcolor="#ffe699" stroked="t" style="position:absolute;margin-left:367.45pt;margin-top:44.1pt;width:109.55pt;height:49.45pt;mso-wrap-style:square;v-text-anchor:middle" wp14:anchorId="79B96BAC">
                <v:fill o:detectmouseclick="t" type="solid" color2="#001966"/>
                <v:stroke color="#70ad47" weight="12600" joinstyle="miter" endcap="flat"/>
                <v:textbox>
                  <w:txbxContent>
                    <w:p>
                      <w:pPr>
                        <w:pStyle w:val="Rahmeninhalt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La lucha interna</w:t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En grupos, trabajad los temas de las estrofas 1 a 5. Analizad las estrofas y explicad el contenido con vuestras propias palabras. </w:t>
      </w:r>
    </w:p>
    <w:p>
      <w:pPr>
        <w:pStyle w:val="ListParagraph"/>
        <w:rPr>
          <w:lang w:val="es-ES"/>
        </w:rPr>
      </w:pPr>
      <w:r>
        <w:rPr>
          <w:lang w:val="es-ES"/>
        </w:rPr>
        <w:t>Usad el vocabulario de la hoja de trabajo M3b.</w:t>
      </w:r>
    </w:p>
    <w:p>
      <w:pPr>
        <w:pStyle w:val="ListParagraph"/>
        <w:rPr>
          <w:lang w:val="es-ES"/>
        </w:rPr>
      </w:pPr>
      <w:r>
        <w:rPr>
          <w:lang w:val="es-ES"/>
        </w:rPr>
      </w:r>
    </w:p>
    <w:p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A. En las estrofas 6 y 7 se pueden identificar al menos dos campos semánticos. Búscalos y represéntalos en forma de mapa mental. </w:t>
      </w:r>
    </w:p>
    <w:p>
      <w:pPr>
        <w:pStyle w:val="ListParagraph"/>
        <w:jc w:val="center"/>
        <w:rPr>
          <w:lang w:val="es-ES"/>
        </w:rPr>
      </w:pPr>
      <w:r>
        <w:rPr>
          <w:lang w:val="es-ES"/>
        </w:rPr>
        <w:t>O</w:t>
      </w:r>
    </w:p>
    <w:p>
      <w:pPr>
        <w:pStyle w:val="ListParagraph"/>
        <w:rPr>
          <w:lang w:val="es-ES"/>
        </w:rPr>
      </w:pPr>
      <w:r>
        <w:rPr>
          <w:i/>
          <w:lang w:val="es-ES"/>
        </w:rPr>
        <w:t>Diferenciación</w:t>
      </w:r>
      <w:r>
        <w:rPr>
          <w:lang w:val="es-ES"/>
        </w:rPr>
        <w:t>:</w:t>
      </w:r>
    </w:p>
    <w:p>
      <w:pPr>
        <w:pStyle w:val="ListParagraph"/>
        <w:rPr>
          <w:lang w:val="es-ES"/>
        </w:rPr>
      </w:pPr>
      <w:r>
        <w:rPr>
          <w:lang w:val="es-ES"/>
        </w:rPr>
        <w:t xml:space="preserve">B. En las estrofas 6 y 7 se pueden identificar dos campos semánticos predominantes: la </w:t>
      </w:r>
      <w:r>
        <w:rPr>
          <w:i/>
          <w:lang w:val="es-ES"/>
        </w:rPr>
        <w:t xml:space="preserve">guerra </w:t>
      </w:r>
      <w:r>
        <w:rPr>
          <w:lang w:val="es-ES"/>
        </w:rPr>
        <w:t xml:space="preserve">y la </w:t>
      </w:r>
      <w:r>
        <w:rPr>
          <w:i/>
          <w:lang w:val="es-ES"/>
        </w:rPr>
        <w:t xml:space="preserve">elaboración de pan. </w:t>
      </w:r>
      <w:r>
        <w:rPr>
          <w:lang w:val="es-ES"/>
        </w:rPr>
        <w:t xml:space="preserve">Búscalos y represéntalos en forma de mapa mental. </w:t>
      </w:r>
    </w:p>
    <w:p>
      <w:pPr>
        <w:pStyle w:val="ListParagraph"/>
        <w:rPr>
          <w:lang w:val="es-ES"/>
        </w:rPr>
      </w:pPr>
      <w:r>
        <w:rPr>
          <w:lang w:val="es-ES"/>
        </w:rPr>
      </w:r>
    </w:p>
    <w:p>
      <w:pPr>
        <w:pStyle w:val="ListParagraph"/>
        <w:rPr>
          <w:color w:val="FF0000"/>
          <w:lang w:val="es-ES"/>
        </w:rPr>
      </w:pPr>
      <w:r>
        <w:rPr>
          <w:color w:val="FF0000"/>
          <w:lang w:val="es-ES"/>
        </w:rPr>
      </w:r>
    </w:p>
    <w:p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Interpreta el juego de imágenes de las estrofas 6 y 7, en las que predominan estos campos semánticos.</w:t>
      </w:r>
    </w:p>
    <w:p>
      <w:pPr>
        <w:pStyle w:val="ListParagraph"/>
        <w:rPr>
          <w:lang w:val="es-ES"/>
        </w:rPr>
      </w:pPr>
      <w:r>
        <w:rPr>
          <w:lang w:val="es-ES"/>
        </w:rPr>
      </w:r>
    </w:p>
    <w:p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¿Cuál es, según la autora, el único modo de sobrevivir en la “frontera”?</w:t>
      </w:r>
    </w:p>
    <w:p>
      <w:pPr>
        <w:pStyle w:val="ListParagraph"/>
        <w:rPr>
          <w:lang w:val="es-ES"/>
        </w:rPr>
      </w:pPr>
      <w:r>
        <w:rPr>
          <w:lang w:val="es-ES"/>
        </w:rPr>
      </w:r>
    </w:p>
    <w:p>
      <w:pPr>
        <w:pStyle w:val="ListParagraph"/>
        <w:rPr>
          <w:lang w:val="es-ES"/>
        </w:rPr>
      </w:pPr>
      <w:r>
        <w:rPr>
          <w:lang w:val="es-ES"/>
        </w:rPr>
      </w:r>
    </w:p>
    <w:p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Para concluir, explica qué significa para el yo lírico </w:t>
      </w:r>
      <w:r>
        <w:rPr>
          <w:i/>
          <w:lang w:val="es-ES"/>
        </w:rPr>
        <w:t>vivir en la frontera</w:t>
      </w:r>
      <w:r>
        <w:rPr>
          <w:lang w:val="es-ES"/>
        </w:rPr>
        <w:t>. Ten en cuenta el título de la obra de Anzaldúa.</w:t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spacing w:before="0" w:after="160"/>
        <w:rPr>
          <w:lang w:val="es-ES"/>
        </w:rPr>
      </w:pPr>
      <w:r>
        <w:rPr>
          <w:lang w:val="es-ES"/>
        </w:rPr>
        <w:t xml:space="preserve">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udea">
    <w:altName w:val="Myriad Pro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7500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>
    <w:name w:val="Internetverknüpfung"/>
    <w:basedOn w:val="DefaultParagraphFont"/>
    <w:uiPriority w:val="99"/>
    <w:unhideWhenUsed/>
    <w:rsid w:val="00f51bcb"/>
    <w:rPr>
      <w:color w:val="0563C1" w:themeColor="hyperlink"/>
      <w:u w:val="single"/>
    </w:rPr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087ec0"/>
    <w:rPr>
      <w:rFonts w:ascii="Segoe UI" w:hAnsi="Segoe UI" w:cs="Segoe UI"/>
      <w:sz w:val="18"/>
      <w:szCs w:val="18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  <w:style w:type="paragraph" w:styleId="ListParagraph">
    <w:name w:val="List Paragraph"/>
    <w:basedOn w:val="Normal"/>
    <w:uiPriority w:val="34"/>
    <w:qFormat/>
    <w:rsid w:val="004038fd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087ec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creativecommons.org/licenses/by-sa/4.0/deed.en" TargetMode="External"/><Relationship Id="rId4" Type="http://schemas.openxmlformats.org/officeDocument/2006/relationships/hyperlink" Target="https://commons.wikimedia.org/wiki/File:Electric_Oaks_on_the_Hillside.jp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53AD9-959D-491C-B8DC-35113E21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LibreOffice/7.0.6.2$Linux_X86_64 LibreOffice_project/00$Build-2</Application>
  <AppVersion>15.0000</AppVersion>
  <Pages>3</Pages>
  <Words>371</Words>
  <Characters>1901</Characters>
  <CharactersWithSpaces>2324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2020-04-07T14:18:00Z</dcterms:created>
  <dc:creator>María José</dc:creator>
  <dc:description/>
  <dc:language>de-DE</dc:language>
  <cp:lastModifiedBy/>
  <cp:lastPrinted>2020-05-26T08:23:00Z</cp:lastPrinted>
  <dcterms:modified xsi:type="dcterms:W3CDTF">2021-07-07T19:04:54Z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